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val="en-US" w:eastAsia="zh-CN"/>
        </w:rPr>
      </w:pPr>
      <w:r>
        <w:rPr>
          <w:b/>
          <w:sz w:val="28"/>
        </w:rPr>
        <w:t>采购项目名称：</w:t>
      </w:r>
      <w:r>
        <w:rPr>
          <w:rFonts w:hint="eastAsia"/>
          <w:b/>
          <w:sz w:val="28"/>
          <w:lang w:eastAsia="zh-CN"/>
        </w:rPr>
        <w:t>邻水县人民医院耐药分子生物学检测设备（</w:t>
      </w:r>
      <w:r>
        <w:rPr>
          <w:rFonts w:hint="eastAsia"/>
          <w:b/>
          <w:sz w:val="28"/>
          <w:lang w:val="en-US" w:eastAsia="zh-CN"/>
        </w:rPr>
        <w:t>全自动医用PCR 分析系统）</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49</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7</w:t>
      </w:r>
      <w:r>
        <w:rPr>
          <w:b/>
          <w:sz w:val="28"/>
        </w:rPr>
        <w:t>月</w:t>
      </w:r>
      <w:r>
        <w:rPr>
          <w:rFonts w:hint="eastAsia"/>
          <w:b/>
          <w:sz w:val="28"/>
          <w:lang w:val="en-US" w:eastAsia="zh-CN"/>
        </w:rPr>
        <w:t>04</w:t>
      </w:r>
      <w:r>
        <w:rPr>
          <w:b/>
          <w:sz w:val="28"/>
        </w:rPr>
        <w:t>日</w:t>
      </w:r>
    </w:p>
    <w:p w14:paraId="468458F6">
      <w:pPr>
        <w:pStyle w:val="29"/>
        <w:jc w:val="center"/>
        <w:outlineLvl w:val="1"/>
        <w:rPr>
          <w:b/>
          <w:sz w:val="36"/>
        </w:rPr>
      </w:pPr>
    </w:p>
    <w:p w14:paraId="659791B2">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34" w:name="_GoBack"/>
      <w:bookmarkEnd w:id="34"/>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49</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邻水县人民医院耐药分子生物学检测设备（全自动医用PCR分析系统）</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3.本项目的特定资格要求：符合《医疗器械经营监督管理办法》要求，经营或生产范围与投标产品类别一致</w:t>
      </w:r>
      <w:r>
        <w:rPr>
          <w:rFonts w:hint="eastAsia" w:ascii="宋体" w:hAnsi="宋体" w:cs="Times New Roman"/>
          <w:sz w:val="24"/>
          <w:szCs w:val="22"/>
          <w:lang w:val="en-US" w:eastAsia="zh-CN"/>
        </w:rPr>
        <w:t>。</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4</w:t>
      </w:r>
      <w:r>
        <w:rPr>
          <w:rFonts w:hint="eastAsia" w:ascii="宋体" w:hAnsi="宋体"/>
          <w:b/>
          <w:bCs/>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10</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082A45F6">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11</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11</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w:t>
      </w:r>
    </w:p>
    <w:p w14:paraId="312CF46E">
      <w:pPr>
        <w:spacing w:line="400" w:lineRule="exact"/>
        <w:ind w:firstLine="480" w:firstLineChars="200"/>
        <w:rPr>
          <w:rFonts w:hint="eastAsia" w:ascii="宋体" w:hAnsi="宋体" w:cs="宋体"/>
          <w:color w:val="auto"/>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11</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eastAsia="宋体" w:cs="宋体"/>
          <w:b/>
          <w:color w:val="auto"/>
          <w:sz w:val="24"/>
          <w:lang w:val="en-US" w:eastAsia="zh-CN"/>
        </w:rPr>
        <w:t>15</w:t>
      </w:r>
      <w:r>
        <w:rPr>
          <w:rFonts w:hint="eastAsia" w:ascii="宋体" w:hAnsi="宋体" w:eastAsia="宋体" w:cs="宋体"/>
          <w:b/>
          <w:color w:val="auto"/>
          <w:sz w:val="24"/>
        </w:rPr>
        <w:t>:</w:t>
      </w:r>
      <w:r>
        <w:rPr>
          <w:rFonts w:hint="eastAsia" w:ascii="宋体" w:hAnsi="宋体" w:eastAsia="宋体" w:cs="宋体"/>
          <w:b/>
          <w:color w:val="auto"/>
          <w:sz w:val="24"/>
          <w:lang w:val="en-US" w:eastAsia="zh-CN"/>
        </w:rPr>
        <w:t>0</w:t>
      </w:r>
      <w:r>
        <w:rPr>
          <w:rFonts w:hint="eastAsia" w:ascii="宋体" w:hAnsi="宋体" w:eastAsia="宋体" w:cs="宋体"/>
          <w:b/>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8C0E659">
      <w:pPr>
        <w:pStyle w:val="13"/>
        <w:spacing w:before="0" w:beforeAutospacing="0" w:after="0" w:afterAutospacing="0" w:line="440" w:lineRule="exact"/>
        <w:ind w:firstLine="5760" w:firstLineChars="2400"/>
        <w:rPr>
          <w:rFonts w:hint="eastAsia"/>
          <w:sz w:val="24"/>
          <w:szCs w:val="24"/>
          <w:lang w:val="en-US" w:eastAsia="zh-CN"/>
        </w:rPr>
      </w:pPr>
      <w:r>
        <w:rPr>
          <w:rFonts w:hint="eastAsia" w:ascii="宋体" w:hAnsi="宋体" w:eastAsia="宋体" w:cs="Times New Roman"/>
          <w:sz w:val="24"/>
          <w:szCs w:val="24"/>
        </w:rPr>
        <w:t>邻水县</w:t>
      </w:r>
      <w:r>
        <w:rPr>
          <w:rFonts w:hint="eastAsia" w:ascii="宋体" w:hAnsi="宋体" w:eastAsia="宋体" w:cs="Times New Roman"/>
          <w:sz w:val="24"/>
          <w:szCs w:val="24"/>
          <w:lang w:eastAsia="zh-CN"/>
        </w:rPr>
        <w:t>人民医院</w:t>
      </w: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4日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250</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250</w:t>
            </w:r>
            <w:r>
              <w:t>000.00元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19259445">
            <w:pPr>
              <w:pStyle w:val="29"/>
            </w:pPr>
            <w:r>
              <w:t>本项目不收取</w:t>
            </w:r>
            <w:r>
              <w:rPr>
                <w:rFonts w:hint="eastAsia"/>
                <w:lang w:eastAsia="zh-CN"/>
              </w:rPr>
              <w:t>履约</w:t>
            </w:r>
            <w:r>
              <w:t>保证金。</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7067"/>
      <w:bookmarkStart w:id="7" w:name="_Toc31240"/>
      <w:bookmarkStart w:id="8" w:name="_Toc13038"/>
      <w:bookmarkStart w:id="9" w:name="_Toc15215"/>
      <w:bookmarkStart w:id="10" w:name="_Toc2429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338364"/>
      <w:bookmarkStart w:id="13" w:name="_Toc101174151"/>
      <w:bookmarkStart w:id="14" w:name="_Toc209847069"/>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7AAA65A9">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r>
        <w:rPr>
          <w:rFonts w:hint="eastAsia" w:ascii="宋体" w:hAnsi="宋体" w:eastAsia="宋体" w:cs="Times New Roman"/>
          <w:sz w:val="24"/>
          <w:lang w:val="en-US" w:eastAsia="zh-CN"/>
        </w:rPr>
        <w:t>。</w:t>
      </w:r>
    </w:p>
    <w:p w14:paraId="41FC2A9C">
      <w:pPr>
        <w:pStyle w:val="6"/>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5DAD0CC1">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217446056"/>
      <w:bookmarkStart w:id="18" w:name="_Toc77400782"/>
      <w:bookmarkStart w:id="19" w:name="_Toc183582231"/>
      <w:bookmarkStart w:id="20" w:name="_Toc18368236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lang w:val="en-US" w:eastAsia="zh-CN"/>
        </w:rPr>
        <w:t>耐药分子生物学检测设备（</w:t>
      </w:r>
      <w:r>
        <w:rPr>
          <w:rFonts w:hint="eastAsia" w:ascii="Times New Roman" w:hAnsi="Times New Roman" w:eastAsia="宋体" w:cs="Times New Roman"/>
          <w:lang w:val="en-US" w:eastAsia="zh-CN"/>
        </w:rPr>
        <w:t>全自动医用PCR 分析系统）</w:t>
      </w:r>
      <w:r>
        <w:rPr>
          <w:sz w:val="24"/>
          <w:szCs w:val="32"/>
        </w:rPr>
        <w:t>进行询价采购，兹邀请供应商参加询价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76"/>
        <w:gridCol w:w="935"/>
        <w:gridCol w:w="1104"/>
        <w:gridCol w:w="1674"/>
        <w:gridCol w:w="1902"/>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2" w:hRule="atLeast"/>
          <w:jc w:val="center"/>
        </w:trPr>
        <w:tc>
          <w:tcPr>
            <w:tcW w:w="831" w:type="dxa"/>
            <w:vAlign w:val="center"/>
          </w:tcPr>
          <w:p w14:paraId="58C27994">
            <w:pPr>
              <w:pStyle w:val="29"/>
              <w:jc w:val="center"/>
            </w:pPr>
            <w:r>
              <w:t>序号</w:t>
            </w:r>
          </w:p>
        </w:tc>
        <w:tc>
          <w:tcPr>
            <w:tcW w:w="2076" w:type="dxa"/>
            <w:vAlign w:val="center"/>
          </w:tcPr>
          <w:p w14:paraId="2A37313D">
            <w:pPr>
              <w:pStyle w:val="29"/>
              <w:jc w:val="center"/>
            </w:pPr>
            <w:r>
              <w:t>标的名称</w:t>
            </w:r>
          </w:p>
        </w:tc>
        <w:tc>
          <w:tcPr>
            <w:tcW w:w="935" w:type="dxa"/>
            <w:vAlign w:val="center"/>
          </w:tcPr>
          <w:p w14:paraId="49BC57A7">
            <w:pPr>
              <w:pStyle w:val="29"/>
              <w:jc w:val="center"/>
            </w:pPr>
            <w:r>
              <w:t>数量</w:t>
            </w:r>
          </w:p>
        </w:tc>
        <w:tc>
          <w:tcPr>
            <w:tcW w:w="1104" w:type="dxa"/>
            <w:vAlign w:val="center"/>
          </w:tcPr>
          <w:p w14:paraId="1AE277DC">
            <w:pPr>
              <w:pStyle w:val="29"/>
              <w:jc w:val="center"/>
            </w:pPr>
            <w:r>
              <w:t>计量单位</w:t>
            </w:r>
          </w:p>
        </w:tc>
        <w:tc>
          <w:tcPr>
            <w:tcW w:w="1674" w:type="dxa"/>
            <w:vAlign w:val="center"/>
          </w:tcPr>
          <w:p w14:paraId="3133354E">
            <w:pPr>
              <w:pStyle w:val="29"/>
              <w:jc w:val="center"/>
            </w:pPr>
            <w:r>
              <w:t>是否核心产品</w:t>
            </w:r>
          </w:p>
        </w:tc>
        <w:tc>
          <w:tcPr>
            <w:tcW w:w="1902" w:type="dxa"/>
            <w:vAlign w:val="center"/>
          </w:tcPr>
          <w:p w14:paraId="27286F65">
            <w:pPr>
              <w:pStyle w:val="29"/>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6" w:hRule="atLeast"/>
          <w:jc w:val="center"/>
        </w:trPr>
        <w:tc>
          <w:tcPr>
            <w:tcW w:w="831" w:type="dxa"/>
            <w:vAlign w:val="center"/>
          </w:tcPr>
          <w:p w14:paraId="40546675">
            <w:pPr>
              <w:pStyle w:val="29"/>
              <w:jc w:val="center"/>
            </w:pPr>
            <w:r>
              <w:t>1</w:t>
            </w:r>
          </w:p>
        </w:tc>
        <w:tc>
          <w:tcPr>
            <w:tcW w:w="2076" w:type="dxa"/>
            <w:vAlign w:val="center"/>
          </w:tcPr>
          <w:p w14:paraId="63DA74AC">
            <w:pPr>
              <w:pStyle w:val="29"/>
              <w:jc w:val="center"/>
            </w:pPr>
            <w:r>
              <w:rPr>
                <w:rFonts w:hint="eastAsia"/>
                <w:lang w:val="en-US" w:eastAsia="zh-CN"/>
              </w:rPr>
              <w:t>耐药分子生物学检测设备（</w:t>
            </w:r>
            <w:r>
              <w:rPr>
                <w:rFonts w:hint="eastAsia" w:ascii="Times New Roman" w:hAnsi="Times New Roman" w:eastAsia="宋体" w:cs="Times New Roman"/>
                <w:lang w:val="en-US" w:eastAsia="zh-CN"/>
              </w:rPr>
              <w:t>全自动医用PCR 分析系统）</w:t>
            </w:r>
          </w:p>
        </w:tc>
        <w:tc>
          <w:tcPr>
            <w:tcW w:w="935" w:type="dxa"/>
            <w:vAlign w:val="center"/>
          </w:tcPr>
          <w:p w14:paraId="030CED88">
            <w:pPr>
              <w:pStyle w:val="29"/>
              <w:jc w:val="center"/>
            </w:pPr>
            <w:r>
              <w:rPr>
                <w:rFonts w:hint="eastAsia"/>
                <w:lang w:val="en-US" w:eastAsia="zh-CN"/>
              </w:rPr>
              <w:t>1</w:t>
            </w:r>
            <w:r>
              <w:t>.00</w:t>
            </w:r>
          </w:p>
        </w:tc>
        <w:tc>
          <w:tcPr>
            <w:tcW w:w="1104" w:type="dxa"/>
            <w:vAlign w:val="center"/>
          </w:tcPr>
          <w:p w14:paraId="61F84F2C">
            <w:pPr>
              <w:pStyle w:val="29"/>
              <w:jc w:val="center"/>
              <w:rPr>
                <w:rFonts w:hint="eastAsia" w:eastAsiaTheme="minorEastAsia"/>
                <w:lang w:eastAsia="zh-CN"/>
              </w:rPr>
            </w:pPr>
            <w:r>
              <w:rPr>
                <w:rFonts w:hint="eastAsia"/>
                <w:lang w:eastAsia="zh-CN"/>
              </w:rPr>
              <w:t>台</w:t>
            </w:r>
          </w:p>
        </w:tc>
        <w:tc>
          <w:tcPr>
            <w:tcW w:w="1674" w:type="dxa"/>
            <w:vAlign w:val="center"/>
          </w:tcPr>
          <w:p w14:paraId="548C0A2E">
            <w:pPr>
              <w:pStyle w:val="29"/>
              <w:jc w:val="center"/>
            </w:pPr>
            <w:r>
              <w:t>是</w:t>
            </w:r>
          </w:p>
        </w:tc>
        <w:tc>
          <w:tcPr>
            <w:tcW w:w="1902" w:type="dxa"/>
            <w:vAlign w:val="center"/>
          </w:tcPr>
          <w:p w14:paraId="4979D8E1">
            <w:pPr>
              <w:pStyle w:val="29"/>
              <w:jc w:val="center"/>
            </w:pPr>
            <w:r>
              <w:t>否</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auto"/>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42A226C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1、全自动一体式检测，含核酸提取、PCR检测、PCR上机、结果分析等。</w:t>
      </w:r>
    </w:p>
    <w:p w14:paraId="36478B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2、能检测分枝杆菌鉴定及至少2种以上结核耐药分子检测，有配套结核耐药分子检测试剂并获得国家药品监督管理局三类注册证。 </w:t>
      </w:r>
    </w:p>
    <w:p w14:paraId="5DC0D9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3、样本通量：一次能同时完成检测样本量</w:t>
      </w:r>
      <w:r>
        <w:rPr>
          <w:rFonts w:hint="default"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4样本。</w:t>
      </w:r>
    </w:p>
    <w:p w14:paraId="75D219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4、检测速度：上机检测时间到出报告的时间</w:t>
      </w:r>
      <w:r>
        <w:rPr>
          <w:rFonts w:hint="default"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4小时。</w:t>
      </w:r>
    </w:p>
    <w:p w14:paraId="6CA79F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5、消毒功能：可计时门控式紫外灭菌功能、二重密封技术。</w:t>
      </w:r>
    </w:p>
    <w:p w14:paraId="4962E6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6、结核检测项目能单独检测，可单独开展结核分枝杆菌复合群检测，可独立开展分枝杆菌鉴定检测，可单独开展结核耐药分子检测。</w:t>
      </w:r>
    </w:p>
    <w:p w14:paraId="5D1DB8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7、配套试剂耗材在四川省药械招标采购服务中心已挂网，提供挂网证明材料。</w:t>
      </w:r>
    </w:p>
    <w:p w14:paraId="5DE426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8、配备实验室信息管理系统</w:t>
      </w:r>
    </w:p>
    <w:p w14:paraId="51E18E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至少包括以下模块：人员管理、文档管理、设备管理、试剂管理、业务管理、质量管理、项目管理、培训管理、考试管理、电子记录管理、评审管理、内部审核管理、授权管理、持续改进管理、任务管理等。</w:t>
      </w:r>
    </w:p>
    <w:p w14:paraId="502170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（2）提供至少有5家三级医院使用证明。</w:t>
      </w:r>
    </w:p>
    <w:p w14:paraId="154235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（3）提供该系统维保服务并不得收取相关费用。</w:t>
      </w: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2346FF20">
      <w:pPr>
        <w:tabs>
          <w:tab w:val="left" w:pos="7665"/>
        </w:tabs>
        <w:spacing w:line="400" w:lineRule="exact"/>
        <w:ind w:firstLine="482"/>
        <w:jc w:val="center"/>
        <w:outlineLvl w:val="0"/>
        <w:rPr>
          <w:rFonts w:hint="eastAsia" w:ascii="黑体" w:hAnsi="宋体" w:eastAsia="黑体"/>
          <w:b/>
          <w:bCs/>
          <w:sz w:val="32"/>
          <w:szCs w:val="32"/>
        </w:rPr>
      </w:pPr>
    </w:p>
    <w:p w14:paraId="2CAC53B0">
      <w:pPr>
        <w:tabs>
          <w:tab w:val="left" w:pos="7665"/>
        </w:tabs>
        <w:spacing w:line="400" w:lineRule="exact"/>
        <w:ind w:firstLine="482"/>
        <w:jc w:val="center"/>
        <w:outlineLvl w:val="0"/>
        <w:rPr>
          <w:rFonts w:hint="eastAsia" w:ascii="黑体" w:hAnsi="宋体" w:eastAsia="黑体"/>
          <w:b/>
          <w:bCs/>
          <w:sz w:val="32"/>
          <w:szCs w:val="32"/>
        </w:rPr>
      </w:pPr>
    </w:p>
    <w:p w14:paraId="7ADCCEF8">
      <w:pPr>
        <w:tabs>
          <w:tab w:val="left" w:pos="7665"/>
        </w:tabs>
        <w:spacing w:line="400" w:lineRule="exact"/>
        <w:ind w:firstLine="482"/>
        <w:jc w:val="center"/>
        <w:outlineLvl w:val="0"/>
        <w:rPr>
          <w:rFonts w:hint="eastAsia" w:ascii="黑体" w:hAnsi="宋体" w:eastAsia="黑体"/>
          <w:b/>
          <w:bCs/>
          <w:sz w:val="32"/>
          <w:szCs w:val="32"/>
        </w:rPr>
      </w:pPr>
    </w:p>
    <w:p w14:paraId="1B152B5A">
      <w:pPr>
        <w:tabs>
          <w:tab w:val="left" w:pos="7665"/>
        </w:tabs>
        <w:spacing w:line="400" w:lineRule="exact"/>
        <w:ind w:firstLine="482"/>
        <w:jc w:val="center"/>
        <w:outlineLvl w:val="0"/>
        <w:rPr>
          <w:rFonts w:hint="eastAsia" w:ascii="黑体" w:hAnsi="宋体" w:eastAsia="黑体"/>
          <w:b/>
          <w:bCs/>
          <w:sz w:val="32"/>
          <w:szCs w:val="32"/>
        </w:rPr>
      </w:pPr>
    </w:p>
    <w:p w14:paraId="5DE3E8E0">
      <w:pPr>
        <w:tabs>
          <w:tab w:val="left" w:pos="7665"/>
        </w:tabs>
        <w:spacing w:line="400" w:lineRule="exact"/>
        <w:ind w:firstLine="482"/>
        <w:jc w:val="center"/>
        <w:outlineLvl w:val="0"/>
        <w:rPr>
          <w:rFonts w:hint="eastAsia" w:ascii="黑体" w:hAnsi="宋体" w:eastAsia="黑体"/>
          <w:b/>
          <w:bCs/>
          <w:sz w:val="32"/>
          <w:szCs w:val="32"/>
        </w:rPr>
      </w:pPr>
    </w:p>
    <w:p w14:paraId="24C006FC">
      <w:pPr>
        <w:tabs>
          <w:tab w:val="left" w:pos="7665"/>
        </w:tabs>
        <w:spacing w:line="400" w:lineRule="exact"/>
        <w:ind w:firstLine="482"/>
        <w:jc w:val="center"/>
        <w:outlineLvl w:val="0"/>
        <w:rPr>
          <w:rFonts w:hint="eastAsia" w:ascii="黑体" w:hAnsi="宋体" w:eastAsia="黑体"/>
          <w:b/>
          <w:bCs/>
          <w:sz w:val="32"/>
          <w:szCs w:val="32"/>
        </w:rPr>
      </w:pPr>
    </w:p>
    <w:p w14:paraId="397DCB4C">
      <w:pPr>
        <w:tabs>
          <w:tab w:val="left" w:pos="7665"/>
        </w:tabs>
        <w:spacing w:line="400" w:lineRule="exact"/>
        <w:ind w:firstLine="482"/>
        <w:jc w:val="center"/>
        <w:outlineLvl w:val="0"/>
        <w:rPr>
          <w:rFonts w:hint="eastAsia" w:ascii="黑体" w:hAnsi="宋体" w:eastAsia="黑体"/>
          <w:b/>
          <w:bCs/>
          <w:sz w:val="32"/>
          <w:szCs w:val="32"/>
        </w:rPr>
      </w:pPr>
    </w:p>
    <w:p w14:paraId="571A35D4">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3CF3078C">
      <w:pPr>
        <w:tabs>
          <w:tab w:val="left" w:pos="7665"/>
        </w:tabs>
        <w:spacing w:line="400" w:lineRule="exact"/>
        <w:ind w:firstLine="482"/>
        <w:jc w:val="center"/>
        <w:outlineLvl w:val="0"/>
        <w:rPr>
          <w:rFonts w:hint="eastAsia" w:ascii="黑体" w:hAnsi="宋体" w:eastAsia="黑体"/>
          <w:b/>
          <w:bCs/>
          <w:sz w:val="32"/>
          <w:szCs w:val="32"/>
        </w:rPr>
      </w:pPr>
    </w:p>
    <w:p w14:paraId="4201A93F">
      <w:pPr>
        <w:tabs>
          <w:tab w:val="left" w:pos="7665"/>
        </w:tabs>
        <w:spacing w:line="400" w:lineRule="exact"/>
        <w:ind w:firstLine="482"/>
        <w:jc w:val="center"/>
        <w:outlineLvl w:val="0"/>
        <w:rPr>
          <w:rFonts w:hint="eastAsia" w:ascii="黑体" w:hAnsi="宋体" w:eastAsia="黑体"/>
          <w:b/>
          <w:bCs/>
          <w:sz w:val="32"/>
          <w:szCs w:val="32"/>
        </w:rPr>
      </w:pPr>
    </w:p>
    <w:p w14:paraId="536ECC70">
      <w:pPr>
        <w:tabs>
          <w:tab w:val="left" w:pos="7665"/>
        </w:tabs>
        <w:spacing w:line="400" w:lineRule="exact"/>
        <w:ind w:firstLine="482"/>
        <w:jc w:val="center"/>
        <w:outlineLvl w:val="0"/>
        <w:rPr>
          <w:rFonts w:hint="eastAsia" w:ascii="黑体" w:hAnsi="宋体" w:eastAsia="黑体"/>
          <w:b/>
          <w:bCs/>
          <w:sz w:val="32"/>
          <w:szCs w:val="32"/>
        </w:rPr>
      </w:pPr>
    </w:p>
    <w:p w14:paraId="6BD18FD2">
      <w:pPr>
        <w:tabs>
          <w:tab w:val="left" w:pos="7665"/>
        </w:tabs>
        <w:spacing w:line="400" w:lineRule="exact"/>
        <w:ind w:firstLine="482"/>
        <w:jc w:val="center"/>
        <w:outlineLvl w:val="0"/>
        <w:rPr>
          <w:rFonts w:hint="eastAsia" w:ascii="黑体" w:hAnsi="宋体" w:eastAsia="黑体"/>
          <w:b/>
          <w:bCs/>
          <w:sz w:val="32"/>
          <w:szCs w:val="32"/>
        </w:rPr>
      </w:pPr>
    </w:p>
    <w:p w14:paraId="7C67210C">
      <w:pPr>
        <w:tabs>
          <w:tab w:val="left" w:pos="7665"/>
        </w:tabs>
        <w:spacing w:line="400" w:lineRule="exact"/>
        <w:ind w:firstLine="482"/>
        <w:jc w:val="center"/>
        <w:outlineLvl w:val="0"/>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742E78F9">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3D87BE3E">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6"/>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1F033DD9">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1411E8E8">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6"/>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ascii="宋体" w:hAnsi="宋体" w:eastAsia="宋体" w:cs="宋体"/>
          <w:b w:val="0"/>
          <w:bCs w:val="0"/>
          <w:color w:val="000000"/>
          <w:sz w:val="24"/>
          <w:szCs w:val="24"/>
        </w:rPr>
        <w:t>《财政部关于进一步 加强政府采购需求和履约验收管理的指导意见》（财库〔2016〕205 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1AD6AC7"/>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051528"/>
    <w:rsid w:val="12224C84"/>
    <w:rsid w:val="13D91CFB"/>
    <w:rsid w:val="14322531"/>
    <w:rsid w:val="145016FA"/>
    <w:rsid w:val="15C06EFA"/>
    <w:rsid w:val="15C252D6"/>
    <w:rsid w:val="163B4059"/>
    <w:rsid w:val="17214185"/>
    <w:rsid w:val="17505977"/>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34E22"/>
    <w:rsid w:val="2FD6310C"/>
    <w:rsid w:val="30475B03"/>
    <w:rsid w:val="31C75BFC"/>
    <w:rsid w:val="31E056B1"/>
    <w:rsid w:val="322C2A29"/>
    <w:rsid w:val="32415C43"/>
    <w:rsid w:val="324E00CB"/>
    <w:rsid w:val="336D52FF"/>
    <w:rsid w:val="357B5200"/>
    <w:rsid w:val="36AB3566"/>
    <w:rsid w:val="37FC6D3C"/>
    <w:rsid w:val="38CF6C67"/>
    <w:rsid w:val="38F34B66"/>
    <w:rsid w:val="3A027D9F"/>
    <w:rsid w:val="3DA22932"/>
    <w:rsid w:val="3F806480"/>
    <w:rsid w:val="42EA597B"/>
    <w:rsid w:val="435B5C38"/>
    <w:rsid w:val="43FD38FB"/>
    <w:rsid w:val="4411464B"/>
    <w:rsid w:val="441E338F"/>
    <w:rsid w:val="45AB4CC4"/>
    <w:rsid w:val="45F91CA4"/>
    <w:rsid w:val="46F04E55"/>
    <w:rsid w:val="47444D75"/>
    <w:rsid w:val="48684D9E"/>
    <w:rsid w:val="48C81FD4"/>
    <w:rsid w:val="48E803B4"/>
    <w:rsid w:val="498F7B0C"/>
    <w:rsid w:val="4A1A4C1E"/>
    <w:rsid w:val="4A6A4F1F"/>
    <w:rsid w:val="4AE905BD"/>
    <w:rsid w:val="4AF905C9"/>
    <w:rsid w:val="4C192B2B"/>
    <w:rsid w:val="4C5A31D0"/>
    <w:rsid w:val="4CF1314B"/>
    <w:rsid w:val="4D094EC3"/>
    <w:rsid w:val="4D3F2ADF"/>
    <w:rsid w:val="4E6E2C07"/>
    <w:rsid w:val="4EBF4055"/>
    <w:rsid w:val="4EC400D5"/>
    <w:rsid w:val="4EDD2E4D"/>
    <w:rsid w:val="4F45676F"/>
    <w:rsid w:val="4F9B62CA"/>
    <w:rsid w:val="50E32F3E"/>
    <w:rsid w:val="52D75F1F"/>
    <w:rsid w:val="52EC44FA"/>
    <w:rsid w:val="54E61D80"/>
    <w:rsid w:val="552B0390"/>
    <w:rsid w:val="560A5808"/>
    <w:rsid w:val="562A7CF5"/>
    <w:rsid w:val="56356D29"/>
    <w:rsid w:val="5691060A"/>
    <w:rsid w:val="572063DD"/>
    <w:rsid w:val="584B5BE4"/>
    <w:rsid w:val="58905DEE"/>
    <w:rsid w:val="5901420E"/>
    <w:rsid w:val="59C232FC"/>
    <w:rsid w:val="5AA4447D"/>
    <w:rsid w:val="5AB91DB3"/>
    <w:rsid w:val="5ADB6F33"/>
    <w:rsid w:val="5C4E7ACC"/>
    <w:rsid w:val="5C57765F"/>
    <w:rsid w:val="5CDC79F3"/>
    <w:rsid w:val="5D7E2CB1"/>
    <w:rsid w:val="5E230212"/>
    <w:rsid w:val="5F4B17ED"/>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C580329"/>
    <w:rsid w:val="6DF42A0F"/>
    <w:rsid w:val="6E8E64EB"/>
    <w:rsid w:val="6F462AF9"/>
    <w:rsid w:val="6FB86553"/>
    <w:rsid w:val="70260E8E"/>
    <w:rsid w:val="7128436B"/>
    <w:rsid w:val="72124A65"/>
    <w:rsid w:val="73640109"/>
    <w:rsid w:val="73A42611"/>
    <w:rsid w:val="73BE5F83"/>
    <w:rsid w:val="750E512E"/>
    <w:rsid w:val="75AC5B7C"/>
    <w:rsid w:val="75F4747B"/>
    <w:rsid w:val="76427C85"/>
    <w:rsid w:val="791436BF"/>
    <w:rsid w:val="7A3410D9"/>
    <w:rsid w:val="7AA11235"/>
    <w:rsid w:val="7C314CC9"/>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1"/>
    <w:autoRedefine/>
    <w:qFormat/>
    <w:uiPriority w:val="0"/>
    <w:pPr>
      <w:spacing w:after="120"/>
    </w:pPr>
    <w:rPr>
      <w:szCs w:val="22"/>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 w:type="paragraph" w:customStyle="1" w:styleId="30">
    <w:name w:val="列出段落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19191</Words>
  <Characters>20022</Characters>
  <Lines>0</Lines>
  <Paragraphs>0</Paragraphs>
  <TotalTime>33</TotalTime>
  <ScaleCrop>false</ScaleCrop>
  <LinksUpToDate>false</LinksUpToDate>
  <CharactersWithSpaces>21088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2024-07-04T02:53:13Z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CF7D118F894A475181483CAA4CF2D6A0_13</vt:lpwstr>
  </property>
</Properties>
</file>