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eastAsiaTheme="minor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自动气压止血仪</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46</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26</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46</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自动气压止血仪</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4</w:t>
      </w:r>
      <w:r>
        <w:rPr>
          <w:rFonts w:hint="eastAsia" w:ascii="宋体" w:hAnsi="宋体"/>
          <w:b/>
          <w:bCs/>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14:paraId="312CF46E">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7</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eastAsia="宋体" w:cs="宋体"/>
          <w:b/>
          <w:color w:val="auto"/>
          <w:sz w:val="24"/>
          <w:lang w:val="en-US" w:eastAsia="zh-CN"/>
        </w:rPr>
        <w:t>0</w:t>
      </w:r>
      <w:r>
        <w:rPr>
          <w:rFonts w:hint="eastAsia" w:ascii="宋体" w:hAnsi="宋体" w:eastAsia="宋体" w:cs="宋体"/>
          <w:b/>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26日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30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7067"/>
      <w:bookmarkStart w:id="8" w:name="_Toc13038"/>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101338364"/>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w:t>
      </w:r>
      <w:bookmarkStart w:id="34" w:name="_GoBack"/>
      <w:bookmarkEnd w:id="34"/>
      <w:r>
        <w:rPr>
          <w:rFonts w:hint="eastAsia" w:ascii="宋体" w:hAnsi="宋体" w:eastAsia="宋体" w:cs="宋体"/>
          <w:sz w:val="24"/>
        </w:rPr>
        <w:t>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E573EDD">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A0DC77A">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183682368"/>
      <w:bookmarkStart w:id="19" w:name="_Toc77400782"/>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lang w:val="en-US" w:eastAsia="zh-CN"/>
        </w:rPr>
        <w:t>自动气压止血仪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104"/>
        <w:gridCol w:w="1674"/>
        <w:gridCol w:w="190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104" w:type="dxa"/>
            <w:vAlign w:val="center"/>
          </w:tcPr>
          <w:p w14:paraId="1AE277DC">
            <w:pPr>
              <w:pStyle w:val="29"/>
              <w:jc w:val="center"/>
            </w:pPr>
            <w:r>
              <w:t>计量单位</w:t>
            </w:r>
          </w:p>
        </w:tc>
        <w:tc>
          <w:tcPr>
            <w:tcW w:w="1674" w:type="dxa"/>
            <w:vAlign w:val="center"/>
          </w:tcPr>
          <w:p w14:paraId="3133354E">
            <w:pPr>
              <w:pStyle w:val="29"/>
              <w:jc w:val="center"/>
            </w:pPr>
            <w:r>
              <w:t>是否核心产品</w:t>
            </w:r>
          </w:p>
        </w:tc>
        <w:tc>
          <w:tcPr>
            <w:tcW w:w="1902"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lang w:val="en-US" w:eastAsia="zh-CN"/>
              </w:rPr>
              <w:t>自动气压止血仪</w:t>
            </w:r>
          </w:p>
        </w:tc>
        <w:tc>
          <w:tcPr>
            <w:tcW w:w="935" w:type="dxa"/>
            <w:vAlign w:val="center"/>
          </w:tcPr>
          <w:p w14:paraId="030CED88">
            <w:pPr>
              <w:pStyle w:val="29"/>
              <w:jc w:val="center"/>
            </w:pPr>
            <w:r>
              <w:rPr>
                <w:rFonts w:hint="eastAsia"/>
                <w:lang w:val="en-US" w:eastAsia="zh-CN"/>
              </w:rPr>
              <w:t>2</w:t>
            </w:r>
            <w:r>
              <w:t>.00</w:t>
            </w:r>
          </w:p>
        </w:tc>
        <w:tc>
          <w:tcPr>
            <w:tcW w:w="1104" w:type="dxa"/>
            <w:vAlign w:val="center"/>
          </w:tcPr>
          <w:p w14:paraId="61F84F2C">
            <w:pPr>
              <w:pStyle w:val="29"/>
              <w:jc w:val="center"/>
              <w:rPr>
                <w:rFonts w:hint="eastAsia" w:eastAsiaTheme="minorEastAsia"/>
                <w:lang w:eastAsia="zh-CN"/>
              </w:rPr>
            </w:pPr>
            <w:r>
              <w:rPr>
                <w:rFonts w:hint="eastAsia"/>
                <w:lang w:eastAsia="zh-CN"/>
              </w:rPr>
              <w:t>台</w:t>
            </w:r>
          </w:p>
        </w:tc>
        <w:tc>
          <w:tcPr>
            <w:tcW w:w="1674" w:type="dxa"/>
            <w:vAlign w:val="center"/>
          </w:tcPr>
          <w:p w14:paraId="548C0A2E">
            <w:pPr>
              <w:pStyle w:val="29"/>
              <w:jc w:val="center"/>
            </w:pPr>
            <w:r>
              <w:t>是</w:t>
            </w:r>
          </w:p>
        </w:tc>
        <w:tc>
          <w:tcPr>
            <w:tcW w:w="1902"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BB16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1、输出方式：双路输出，适用于上肢或下肢双肢使用；</w:t>
      </w:r>
    </w:p>
    <w:p w14:paraId="7470EE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2、电源电压：AC220V±22V，50Hz±1Hz；功率：18VA；</w:t>
      </w:r>
    </w:p>
    <w:p w14:paraId="7CD292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3、操作方式：精确数字显示，按键操作，微电脑控制；</w:t>
      </w:r>
      <w:r>
        <w:rPr>
          <w:rFonts w:hint="eastAsia" w:ascii="宋体" w:hAnsi="宋体" w:eastAsia="宋体" w:cs="宋体"/>
          <w:color w:val="auto"/>
          <w:kern w:val="2"/>
          <w:sz w:val="24"/>
          <w:szCs w:val="24"/>
          <w:lang w:val="en-US" w:eastAsia="zh-CN" w:bidi="ar-SA"/>
        </w:rPr>
        <w:tab/>
      </w:r>
    </w:p>
    <w:p w14:paraId="5FCB3F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4、工作压力：设定范围：3～100kPa，步距1 kPa；</w:t>
      </w:r>
    </w:p>
    <w:p w14:paraId="604A8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5、工作时间：设定范围：1～600min，步距1分钟；</w:t>
      </w:r>
    </w:p>
    <w:p w14:paraId="68407F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6、记忆功能：设备断电后自动存储上次设定参数，以供下次使用参考；</w:t>
      </w:r>
    </w:p>
    <w:p w14:paraId="27ED20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7、阶梯放气：设定工作时间到或按“放气”键时，设备每隔10秒进行一次放气，放气压力为3kPa，防止患者心、脑突然缺血；</w:t>
      </w:r>
    </w:p>
    <w:p w14:paraId="36AF2C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8、断电、失电压力保持:出现意外断电时，设备将继续保持止血仪内的气压值，气体的泄漏速率每小时不得大于10kPa。以便维持手术继续进行，保证患者安全；</w:t>
      </w:r>
    </w:p>
    <w:p w14:paraId="6A1890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9、紧急阀门装置：可手动紧急放气；</w:t>
      </w:r>
    </w:p>
    <w:p w14:paraId="2C7B1F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10、压力自动补偿功能：设备工作时，实时检测止血袖带内气压，对挤压袖带造成的过压、欠压及时调整，实现止血袖带气压稳定；</w:t>
      </w:r>
    </w:p>
    <w:p w14:paraId="0D6216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11、工作噪音：设备正常工作时噪音≤55dB(A)；</w:t>
      </w:r>
    </w:p>
    <w:p w14:paraId="640554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12、提示功能：a、设定工作时间剩余10min、5min、1min时，将有5次“滴—滴—滴”提醒操作人员；b、设定工作时间完成时，蜂鸣器持续“滴”声响，提示操作人员设定工作时间完成；c、止血仪内气压超过设定值的±5kPa,时间超过2min时，将有持续“滴”声提示；</w:t>
      </w:r>
    </w:p>
    <w:p w14:paraId="2F6184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13、延长导气管尺寸：长度不小于4m；</w:t>
      </w:r>
    </w:p>
    <w:p w14:paraId="758FDF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14、止血袖带尺寸：超大号袖带：长1020mm宽140mm2条，大号袖带：长980mm宽86mm2条，中号袖带：长750mm宽75mm2条，小号袖带：长440mm宽62mm2条；</w:t>
      </w:r>
    </w:p>
    <w:p w14:paraId="52D941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15、推车：标配推车一台；</w:t>
      </w:r>
    </w:p>
    <w:p w14:paraId="154235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内置锂电池：可连续工作6小时以上。</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2346FF20">
      <w:pPr>
        <w:tabs>
          <w:tab w:val="left" w:pos="7665"/>
        </w:tabs>
        <w:spacing w:line="400" w:lineRule="exact"/>
        <w:ind w:firstLine="482"/>
        <w:jc w:val="center"/>
        <w:outlineLvl w:val="0"/>
        <w:rPr>
          <w:rFonts w:hint="eastAsia" w:ascii="黑体" w:hAnsi="宋体" w:eastAsia="黑体"/>
          <w:b/>
          <w:bCs/>
          <w:sz w:val="32"/>
          <w:szCs w:val="32"/>
        </w:rPr>
      </w:pPr>
    </w:p>
    <w:p w14:paraId="2CAC53B0">
      <w:pPr>
        <w:tabs>
          <w:tab w:val="left" w:pos="7665"/>
        </w:tabs>
        <w:spacing w:line="400" w:lineRule="exact"/>
        <w:ind w:firstLine="482"/>
        <w:jc w:val="center"/>
        <w:outlineLvl w:val="0"/>
        <w:rPr>
          <w:rFonts w:hint="eastAsia" w:ascii="黑体" w:hAnsi="宋体" w:eastAsia="黑体"/>
          <w:b/>
          <w:bCs/>
          <w:sz w:val="32"/>
          <w:szCs w:val="32"/>
        </w:rPr>
      </w:pPr>
    </w:p>
    <w:p w14:paraId="7ADCCEF8">
      <w:pPr>
        <w:tabs>
          <w:tab w:val="left" w:pos="7665"/>
        </w:tabs>
        <w:spacing w:line="400" w:lineRule="exact"/>
        <w:ind w:firstLine="482"/>
        <w:jc w:val="center"/>
        <w:outlineLvl w:val="0"/>
        <w:rPr>
          <w:rFonts w:hint="eastAsia" w:ascii="黑体" w:hAnsi="宋体" w:eastAsia="黑体"/>
          <w:b/>
          <w:bCs/>
          <w:sz w:val="32"/>
          <w:szCs w:val="32"/>
        </w:rPr>
      </w:pPr>
    </w:p>
    <w:p w14:paraId="1B152B5A">
      <w:pPr>
        <w:tabs>
          <w:tab w:val="left" w:pos="7665"/>
        </w:tabs>
        <w:spacing w:line="400" w:lineRule="exact"/>
        <w:ind w:firstLine="482"/>
        <w:jc w:val="center"/>
        <w:outlineLvl w:val="0"/>
        <w:rPr>
          <w:rFonts w:hint="eastAsia" w:ascii="黑体" w:hAnsi="宋体" w:eastAsia="黑体"/>
          <w:b/>
          <w:bCs/>
          <w:sz w:val="32"/>
          <w:szCs w:val="32"/>
        </w:rPr>
      </w:pPr>
    </w:p>
    <w:p w14:paraId="5DE3E8E0">
      <w:pPr>
        <w:tabs>
          <w:tab w:val="left" w:pos="7665"/>
        </w:tabs>
        <w:spacing w:line="400" w:lineRule="exact"/>
        <w:ind w:firstLine="482"/>
        <w:jc w:val="center"/>
        <w:outlineLvl w:val="0"/>
        <w:rPr>
          <w:rFonts w:hint="eastAsia" w:ascii="黑体" w:hAnsi="宋体" w:eastAsia="黑体"/>
          <w:b/>
          <w:bCs/>
          <w:sz w:val="32"/>
          <w:szCs w:val="32"/>
        </w:rPr>
      </w:pPr>
    </w:p>
    <w:p w14:paraId="24C006FC">
      <w:pPr>
        <w:tabs>
          <w:tab w:val="left" w:pos="7665"/>
        </w:tabs>
        <w:spacing w:line="400" w:lineRule="exact"/>
        <w:ind w:firstLine="482"/>
        <w:jc w:val="center"/>
        <w:outlineLvl w:val="0"/>
        <w:rPr>
          <w:rFonts w:hint="eastAsia" w:ascii="黑体" w:hAnsi="宋体" w:eastAsia="黑体"/>
          <w:b/>
          <w:bCs/>
          <w:sz w:val="32"/>
          <w:szCs w:val="32"/>
        </w:rPr>
      </w:pPr>
    </w:p>
    <w:p w14:paraId="397DCB4C">
      <w:pPr>
        <w:tabs>
          <w:tab w:val="left" w:pos="7665"/>
        </w:tabs>
        <w:spacing w:line="400" w:lineRule="exact"/>
        <w:ind w:firstLine="482"/>
        <w:jc w:val="center"/>
        <w:outlineLvl w:val="0"/>
        <w:rPr>
          <w:rFonts w:hint="eastAsia" w:ascii="黑体" w:hAnsi="宋体" w:eastAsia="黑体"/>
          <w:b/>
          <w:bCs/>
          <w:sz w:val="32"/>
          <w:szCs w:val="32"/>
        </w:rPr>
      </w:pPr>
    </w:p>
    <w:p w14:paraId="571A35D4">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91266C3">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29858E89">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050261CE">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39DE539F">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ascii="宋体" w:hAnsi="宋体" w:eastAsia="宋体" w:cs="宋体"/>
          <w:b w:val="0"/>
          <w:bCs w:val="0"/>
          <w:color w:val="000000"/>
          <w:sz w:val="24"/>
          <w:szCs w:val="24"/>
        </w:rPr>
        <w:t>《财政部关于进一步 加强政府采购需求和履约验收管理的指导意见》（财库〔2016〕205 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1AD6AC7"/>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8F34B66"/>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2EC44FA"/>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314CC9"/>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paragraph" w:customStyle="1" w:styleId="3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19275</Words>
  <Characters>20169</Characters>
  <Lines>0</Lines>
  <Paragraphs>0</Paragraphs>
  <TotalTime>2</TotalTime>
  <ScaleCrop>false</ScaleCrop>
  <LinksUpToDate>false</LinksUpToDate>
  <CharactersWithSpaces>21231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2024-06-28T00:19:23Z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