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233737"/>
      <w:bookmarkEnd w:id="0"/>
      <w:bookmarkStart w:id="1" w:name="_Hlt101843627"/>
      <w:bookmarkEnd w:id="1"/>
      <w:bookmarkStart w:id="2" w:name="_Toc30906"/>
      <w:bookmarkStart w:id="3" w:name="_Toc2769"/>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邻水县人民医院病床、床头柜、陪护床（二次）</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33</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5</w:t>
      </w:r>
      <w:r>
        <w:rPr>
          <w:b/>
          <w:sz w:val="28"/>
        </w:rPr>
        <w:t>月</w:t>
      </w:r>
      <w:r>
        <w:rPr>
          <w:rFonts w:hint="eastAsia"/>
          <w:b/>
          <w:sz w:val="28"/>
          <w:lang w:val="en-US" w:eastAsia="zh-CN"/>
        </w:rPr>
        <w:t>14</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33</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病床、床头柜、陪护床（二次）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26.4</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22.68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eastAsia="zh-CN"/>
        </w:rPr>
        <w:t>无</w:t>
      </w:r>
      <w:r>
        <w:rPr>
          <w:rFonts w:hint="eastAsia" w:ascii="宋体" w:hAnsi="宋体" w:cs="Times New Roman"/>
          <w:sz w:val="24"/>
          <w:szCs w:val="22"/>
        </w:rPr>
        <w:t>。</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lang w:val="en-US" w:eastAsia="zh-CN"/>
        </w:rPr>
        <w:t>5</w:t>
      </w:r>
      <w:r>
        <w:rPr>
          <w:rFonts w:hint="eastAsia" w:ascii="宋体" w:hAnsi="宋体" w:cs="宋体"/>
          <w:b/>
          <w:color w:val="auto"/>
          <w:sz w:val="24"/>
        </w:rPr>
        <w:t>月</w:t>
      </w:r>
      <w:r>
        <w:rPr>
          <w:rFonts w:hint="eastAsia" w:ascii="宋体" w:hAnsi="宋体" w:cs="宋体"/>
          <w:b/>
          <w:color w:val="auto"/>
          <w:sz w:val="24"/>
          <w:lang w:val="en-US" w:eastAsia="zh-CN"/>
        </w:rPr>
        <w:t>21</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21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21 </w:t>
      </w:r>
      <w:r>
        <w:rPr>
          <w:rFonts w:hint="eastAsia" w:ascii="宋体" w:hAnsi="宋体" w:cs="宋体"/>
          <w:b/>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cs="宋体"/>
          <w:b/>
          <w:color w:val="auto"/>
          <w:sz w:val="24"/>
          <w:lang w:val="en-US" w:eastAsia="zh-CN"/>
        </w:rPr>
        <w:t>0</w:t>
      </w:r>
      <w:r>
        <w:rPr>
          <w:rFonts w:hint="eastAsia" w:ascii="宋体" w:hAnsi="宋体" w:eastAsia="宋体" w:cs="宋体"/>
          <w:b/>
          <w:color w:val="auto"/>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14日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264</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2268</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w:t>
            </w:r>
            <w:r>
              <w:rPr>
                <w:rFonts w:hint="eastAsia"/>
                <w:lang w:eastAsia="zh-CN"/>
              </w:rPr>
              <w:t>审</w:t>
            </w:r>
            <w:r>
              <w:t>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rPr>
                <w:rFonts w:hint="eastAsia"/>
                <w:lang w:eastAsia="zh-CN"/>
              </w:rPr>
              <w:t>投标</w:t>
            </w:r>
            <w:r>
              <w:t>保证金</w:t>
            </w:r>
          </w:p>
        </w:tc>
        <w:tc>
          <w:tcPr>
            <w:tcW w:w="5184" w:type="dxa"/>
          </w:tcPr>
          <w:p>
            <w:pPr>
              <w:pStyle w:val="29"/>
            </w:pPr>
            <w:r>
              <w:t>本项目不收取</w:t>
            </w:r>
            <w:r>
              <w:rPr>
                <w:rFonts w:hint="eastAsia"/>
                <w:lang w:eastAsia="zh-CN"/>
              </w:rPr>
              <w:t>投标</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4"/>
        <w:keepNext w:val="0"/>
        <w:keepLines w:val="0"/>
        <w:spacing w:before="0" w:after="0" w:line="400" w:lineRule="exact"/>
        <w:jc w:val="center"/>
        <w:rPr>
          <w:rFonts w:hint="eastAsia" w:ascii="黑体"/>
          <w:bCs w:val="0"/>
        </w:rPr>
      </w:pPr>
      <w:bookmarkStart w:id="6" w:name="_Toc31240"/>
      <w:bookmarkStart w:id="7" w:name="_Toc15215"/>
      <w:bookmarkStart w:id="8" w:name="_Toc24295"/>
      <w:bookmarkStart w:id="9" w:name="_Toc13038"/>
      <w:bookmarkStart w:id="10" w:name="_Toc17067"/>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color w:val="FF0000"/>
          <w:sz w:val="24"/>
          <w:lang w:eastAsia="zh-CN"/>
        </w:rPr>
        <w:t>本项目核心产品：陪护床。</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101174151"/>
      <w:bookmarkStart w:id="14" w:name="_Toc101338364"/>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28.1 成交供应商应在合同签订之前向采购人交纳采购文件规定数额的履约保证金或银行保函。</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31.1 成交供应商与采购人签订合同后，合同双方应严格执行合同条款，履行合同规定的义务，保证合同的顺利完成。</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32.1本项目采购人将严格按照政府采购相关法律法规以及《财政部关于进一步加强政府采购需求和履约验收管理的指导意见》（财库〔2016〕205号）的要求进行验收。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b/>
          <w:sz w:val="24"/>
        </w:rPr>
      </w:pPr>
      <w:r>
        <w:rPr>
          <w:rFonts w:hint="eastAsia" w:ascii="宋体" w:hAnsi="宋体" w:eastAsia="宋体" w:cs="Times New Roman"/>
          <w:b/>
          <w:sz w:val="24"/>
        </w:rPr>
        <w:t>34.供应商不得具有的情形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联系人：鲁老师   联系电话：18384510773</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地址：四川省广安市邻水县人民路北段487号</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邮编：638500</w:t>
      </w:r>
    </w:p>
    <w:p>
      <w:pPr>
        <w:pStyle w:val="2"/>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37.（实质性要求）在本次递交响应文件之前一周年内，供应商本次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中对同一品牌同一型号的产品报价与其在中国境内其他地方的最低报价相比不得高于15%。</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38.（实质性要求）国家或行业主管部门对供应商和采购产品的技术标准、质量标准和资格资质条件等有强制性规定的，必须符合其要求</w:t>
      </w:r>
      <w:r>
        <w:rPr>
          <w:rFonts w:hint="eastAsia" w:ascii="宋体" w:hAnsi="宋体" w:eastAsia="宋体" w:cs="Times New Roman"/>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adjustRightInd w:val="0"/>
        <w:spacing w:line="360" w:lineRule="auto"/>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eastAsia="zh-CN"/>
        </w:rPr>
        <w:t>无</w:t>
      </w:r>
      <w:r>
        <w:rPr>
          <w:rFonts w:hint="eastAsia" w:ascii="宋体" w:hAnsi="宋体" w:eastAsia="宋体" w:cs="Times New Roman"/>
          <w:b w:val="0"/>
          <w:bCs w:val="0"/>
          <w:sz w:val="24"/>
          <w:lang w:val="en-US" w:eastAsia="zh-CN"/>
        </w:rPr>
        <w:t>。</w:t>
      </w:r>
    </w:p>
    <w:p>
      <w:pPr>
        <w:pStyle w:val="2"/>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183682368"/>
      <w:bookmarkStart w:id="19" w:name="_Toc8907587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病床、床头柜、陪护床</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157"/>
        <w:gridCol w:w="1480"/>
        <w:gridCol w:w="1547"/>
        <w:gridCol w:w="13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3157" w:type="dxa"/>
            <w:vAlign w:val="center"/>
          </w:tcPr>
          <w:p>
            <w:pPr>
              <w:pStyle w:val="29"/>
              <w:jc w:val="center"/>
              <w:rPr>
                <w:sz w:val="24"/>
                <w:szCs w:val="24"/>
              </w:rPr>
            </w:pPr>
            <w:r>
              <w:rPr>
                <w:sz w:val="24"/>
                <w:szCs w:val="24"/>
              </w:rPr>
              <w:t>标的名称</w:t>
            </w:r>
          </w:p>
        </w:tc>
        <w:tc>
          <w:tcPr>
            <w:tcW w:w="1480" w:type="dxa"/>
            <w:vAlign w:val="top"/>
          </w:tcPr>
          <w:p>
            <w:pPr>
              <w:pageBreakBefore w:val="0"/>
              <w:kinsoku/>
              <w:wordWrap/>
              <w:overflowPunct/>
              <w:topLinePunct w:val="0"/>
              <w:autoSpaceDE/>
              <w:autoSpaceDN/>
              <w:bidi w:val="0"/>
              <w:adjustRightInd/>
              <w:snapToGrid/>
              <w:spacing w:line="440" w:lineRule="exact"/>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单位</w:t>
            </w:r>
          </w:p>
        </w:tc>
        <w:tc>
          <w:tcPr>
            <w:tcW w:w="1547"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cstheme="minorBidi"/>
                <w:kern w:val="0"/>
                <w:sz w:val="24"/>
                <w:szCs w:val="24"/>
                <w:lang w:val="en-US" w:eastAsia="zh-CN"/>
              </w:rPr>
              <w:t>数量</w:t>
            </w:r>
          </w:p>
        </w:tc>
        <w:tc>
          <w:tcPr>
            <w:tcW w:w="1320"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asciiTheme="minorHAnsi" w:hAnsiTheme="minorHAnsi" w:eastAsiaTheme="minorEastAsia" w:cstheme="minorBidi"/>
                <w:kern w:val="0"/>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18"/>
                <w:szCs w:val="21"/>
                <w:lang w:val="en-US" w:eastAsia="zh-CN"/>
              </w:rPr>
            </w:pPr>
            <w:r>
              <w:rPr>
                <w:rFonts w:hint="eastAsia" w:cs="Times New Roman"/>
                <w:color w:val="auto"/>
                <w:kern w:val="0"/>
                <w:sz w:val="24"/>
                <w:szCs w:val="24"/>
                <w:u w:val="none"/>
                <w:lang w:val="en-US" w:eastAsia="zh-CN"/>
              </w:rPr>
              <w:t>病床</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15"/>
                <w:szCs w:val="15"/>
                <w:lang w:val="en-US"/>
              </w:rPr>
            </w:pPr>
            <w:r>
              <w:rPr>
                <w:rFonts w:hint="eastAsia" w:cs="Times New Roman"/>
                <w:color w:val="auto"/>
                <w:kern w:val="0"/>
                <w:sz w:val="24"/>
                <w:szCs w:val="24"/>
                <w:u w:val="none"/>
                <w:lang w:val="en-US" w:eastAsia="zh-CN"/>
              </w:rPr>
              <w:t>张</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cs="Times New Roman"/>
                <w:color w:val="auto"/>
                <w:kern w:val="0"/>
                <w:sz w:val="24"/>
                <w:szCs w:val="24"/>
                <w:u w:val="none"/>
                <w:lang w:val="en-US" w:eastAsia="zh-CN"/>
              </w:rPr>
              <w:t>40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18"/>
                <w:szCs w:val="21"/>
                <w:lang w:val="en-US" w:eastAsia="zh-CN"/>
              </w:rPr>
            </w:pPr>
            <w:r>
              <w:rPr>
                <w:rFonts w:hint="eastAsia" w:cs="Times New Roman"/>
                <w:color w:val="auto"/>
                <w:kern w:val="0"/>
                <w:sz w:val="24"/>
                <w:szCs w:val="24"/>
                <w:u w:val="none"/>
                <w:lang w:val="en-US" w:eastAsia="zh-CN"/>
              </w:rPr>
              <w:t>床头柜</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color w:val="auto"/>
                <w:kern w:val="2"/>
                <w:sz w:val="21"/>
                <w:szCs w:val="21"/>
                <w:lang w:val="en-US" w:eastAsia="zh-CN" w:bidi="ar-SA"/>
              </w:rPr>
            </w:pPr>
            <w:r>
              <w:rPr>
                <w:rFonts w:hint="eastAsia" w:cs="Times New Roman"/>
                <w:color w:val="auto"/>
                <w:kern w:val="0"/>
                <w:sz w:val="24"/>
                <w:szCs w:val="24"/>
                <w:u w:val="none"/>
                <w:lang w:val="en-US" w:eastAsia="zh-CN"/>
              </w:rPr>
              <w:t>个</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cs="Times New Roman"/>
                <w:color w:val="auto"/>
                <w:kern w:val="0"/>
                <w:sz w:val="24"/>
                <w:szCs w:val="24"/>
                <w:u w:val="none"/>
                <w:lang w:val="en-US" w:eastAsia="zh-CN"/>
              </w:rPr>
              <w:t>200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3</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18"/>
                <w:szCs w:val="21"/>
                <w:lang w:val="en-US" w:eastAsia="zh-CN"/>
              </w:rPr>
            </w:pPr>
            <w:r>
              <w:rPr>
                <w:rFonts w:hint="eastAsia" w:cs="Times New Roman"/>
                <w:color w:val="auto"/>
                <w:kern w:val="0"/>
                <w:sz w:val="24"/>
                <w:szCs w:val="24"/>
                <w:u w:val="none"/>
                <w:lang w:val="en-US" w:eastAsia="zh-CN"/>
              </w:rPr>
              <w:t>陪护床</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color w:val="auto"/>
                <w:kern w:val="2"/>
                <w:sz w:val="21"/>
                <w:szCs w:val="21"/>
                <w:lang w:val="en-US" w:eastAsia="zh-CN" w:bidi="ar-SA"/>
              </w:rPr>
            </w:pPr>
            <w:r>
              <w:rPr>
                <w:rFonts w:hint="eastAsia" w:cs="Times New Roman"/>
                <w:color w:val="auto"/>
                <w:kern w:val="0"/>
                <w:sz w:val="24"/>
                <w:szCs w:val="24"/>
                <w:u w:val="none"/>
                <w:lang w:val="en-US" w:eastAsia="zh-CN"/>
              </w:rPr>
              <w:t>张</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cs="Times New Roman"/>
                <w:color w:val="auto"/>
                <w:kern w:val="0"/>
                <w:sz w:val="24"/>
                <w:szCs w:val="24"/>
                <w:u w:val="none"/>
                <w:lang w:val="en-US" w:eastAsia="zh-CN"/>
              </w:rPr>
              <w:t>200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bl>
    <w:p>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color w:val="auto"/>
          <w:kern w:val="2"/>
          <w:sz w:val="32"/>
          <w:szCs w:val="32"/>
          <w:lang w:val="en-US" w:eastAsia="zh-CN" w:bidi="ar-SA"/>
        </w:rPr>
        <w:t>1.病床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（1）配置清单：手摇式三折病床床体1张、ABS床头板1副、ABS护栏2片、床边引流挂钩2个、床垫限位杆1个、三折床垫1张、静音脚轮4个（中控刹车）、翻转餐桌板1个。</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（2）规格尺寸： 2150*900*520mm±10mm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（3）床头中部蓝色，摇手柄均为杏色，床头板边角为蓝色。</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（4）床面额定载荷≥240KG，有效载荷≥520KG。（提供第三方检测报告复印件</w:t>
      </w:r>
      <w:r>
        <w:rPr>
          <w:rFonts w:hint="eastAsia" w:ascii="宋体" w:hAnsi="宋体" w:cs="宋体"/>
          <w:color w:val="auto"/>
          <w:kern w:val="2"/>
          <w:sz w:val="24"/>
          <w:szCs w:val="24"/>
          <w:lang w:val="en-US" w:eastAsia="zh-CN" w:bidi="ar-SA"/>
        </w:rPr>
        <w:t>,</w:t>
      </w:r>
      <w:r>
        <w:rPr>
          <w:rFonts w:hint="eastAsia" w:ascii="宋体" w:hAnsi="宋体" w:cs="宋体"/>
          <w:color w:val="FF0000"/>
          <w:kern w:val="2"/>
          <w:sz w:val="24"/>
          <w:szCs w:val="24"/>
          <w:lang w:val="en-US" w:eastAsia="zh-CN" w:bidi="ar-SA"/>
        </w:rPr>
        <w:t>标注报告所在页码范围</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床头尾板采用强化ABS材质，耐腐蚀、抗老化、坚固，一次注塑成型，床四角处带防撞轮，避免直接碰撞硬物，配置床头卡。床头中部内外均设置两个ABS扣板，浅蓝风格，ABS扣板采用模具成型咬合工艺，长久使用不变形、不脱落，避免传统贴纸技术易掉色、易脱落的弊病。床头尾板颜色周边为乳白色。挂板式结构，可拆卸，床尾比床头低100mm，便于护理操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（6）床框采用≥30×70×1.5mm优质冷轧钢管。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（7）腿部、背部升降系统采用双支撑结构，有效分散承重力，支撑顶端采用滑轮结构，使用轻便。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（8）升降系统横管采用≥厚度2.0mm优质无缝碳素钢管，背部升降双支撑采用≥30×60×1.2mm优质碳钢矩形管。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（9）床脚架采用≥30×50×1.2mm优质碳钢矩形管，脚架为整体焊接结构，具备高度防撞能力，保证长久使用稳固。脚轮采用Φ125带刹双面全塑白色静音脚轮。。负载能力:单只脚轮轮动载100kg，静载125kg。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床面板采用≥厚度1.0mm优质冷轧钢板一次压制成型，坚固、实用，带透气孔，床面内四方采用≥30×30×1.0mm优质碳钢矩形管加强，床面各段使用全钢件连接，钢件外部套用塑料件，减少长期使用升降中产生噪音，避免塑料件承重、摩擦易损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（11）背板折起角度0º-80º，腿板折起角度0º-50º。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（12）传动装置（提供第三方检测报告复印件</w:t>
      </w:r>
      <w:r>
        <w:rPr>
          <w:rFonts w:hint="eastAsia" w:ascii="宋体" w:hAnsi="宋体" w:cs="宋体"/>
          <w:color w:val="auto"/>
          <w:kern w:val="2"/>
          <w:sz w:val="24"/>
          <w:szCs w:val="24"/>
          <w:lang w:val="en-US" w:eastAsia="zh-CN" w:bidi="ar-SA"/>
        </w:rPr>
        <w:t>，</w:t>
      </w:r>
      <w:r>
        <w:rPr>
          <w:rFonts w:hint="eastAsia" w:ascii="宋体" w:hAnsi="宋体" w:cs="宋体"/>
          <w:color w:val="FF0000"/>
          <w:kern w:val="2"/>
          <w:sz w:val="24"/>
          <w:szCs w:val="24"/>
          <w:lang w:val="en-US" w:eastAsia="zh-CN" w:bidi="ar-SA"/>
        </w:rPr>
        <w:t>标注报告所在页码范围</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摇把采用ASB工程塑料一次注塑成型，摇把具有防撞结构设计，在摇把不使用状态下手柄和摇把座之间可以合起，在摇把使用时手柄和摇把座之间可以形成180°，遇到碰撞和外力时手柄和摇把座之间可以展开。手柄可0°～180°折叠，摇动灵活，无卡阻。摇把和丝杆之间采用“万向接”连接技术，“万向接”为钢件。手摇床丝杆有双向过盈保护装置，丝杆采用机器一次性冷挤压成型。连续升降15000次，测试后结构应完好，丝杆不应有失效。启动扭矩≤1.0N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片ABS升降安全护栏，长宽相配，表面光滑；阻尼器控制速度及噪音,护栏开关采用卡钩紧锁,护栏支撑主体（护栏与床体连接处），支撑部件采用钢板一次冲压成型。床体与床面板二氧化碳保护焊焊接，牢固、可靠，传动受力处采用机器人焊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（14）病床表面处理：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床体表层为喷塑结构，喷塑粉末为环保产品，为确保喷塑质量，喷塑流程为正规生产企业，提供相关资料。床面板通过连续150小时以上盐雾测试试验后面板无裂纹、无锈蚀、光滑无变化。</w:t>
      </w:r>
      <w:r>
        <w:rPr>
          <w:rFonts w:hint="eastAsia" w:ascii="宋体" w:hAnsi="宋体" w:eastAsia="宋体" w:cs="宋体"/>
          <w:color w:val="FF0000"/>
          <w:kern w:val="2"/>
          <w:sz w:val="24"/>
          <w:szCs w:val="24"/>
          <w:lang w:val="en-US" w:eastAsia="zh-CN" w:bidi="ar-SA"/>
        </w:rPr>
        <w:t>（提供第三方检测报告复印件</w:t>
      </w:r>
      <w:r>
        <w:rPr>
          <w:rFonts w:hint="eastAsia" w:ascii="宋体" w:hAnsi="宋体" w:cs="宋体"/>
          <w:color w:val="FF0000"/>
          <w:kern w:val="2"/>
          <w:sz w:val="24"/>
          <w:szCs w:val="24"/>
          <w:lang w:val="en-US" w:eastAsia="zh-CN" w:bidi="ar-SA"/>
        </w:rPr>
        <w:t>，标注报告所在页码范围</w:t>
      </w:r>
      <w:r>
        <w:rPr>
          <w:rFonts w:hint="eastAsia" w:ascii="宋体" w:hAnsi="宋体" w:eastAsia="宋体" w:cs="宋体"/>
          <w:color w:val="FF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（15）床体头尾处均带输液架插孔（共2个），床框两侧带引流挂钩2个。</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（16）带碳钢杂物架，床脚架一体结构，避免病床推动产生噪音、脱落现象，方便护理统一管理。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（17）配翻转餐桌板，餐板支架两侧有锁紧装置，餐桌板在不用时可收放床尾。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 床垫厚度70mm，配套床垫由高密度海绵和椰棕组成，内衬优质海绵厚度40mm，椰棕厚度 30mm，床垫外套可拆洗，由优质防水布制作。床垫海绵甲醛含量≦100mg/Kg,PH值4.0-9.0，回弹率≧39%，可分解致癌物≦10mg/Kg；椰棕采用环保棕垫，棕垫甲醛释放量≦0.03mg/㎡.h（提供第三方检测报告复印件</w:t>
      </w:r>
      <w:r>
        <w:rPr>
          <w:rFonts w:hint="eastAsia" w:ascii="宋体" w:hAnsi="宋体" w:cs="宋体"/>
          <w:color w:val="auto"/>
          <w:kern w:val="2"/>
          <w:sz w:val="24"/>
          <w:szCs w:val="24"/>
          <w:lang w:val="en-US" w:eastAsia="zh-CN" w:bidi="ar-SA"/>
        </w:rPr>
        <w:t>，标注报告所在页码</w:t>
      </w:r>
      <w:r>
        <w:rPr>
          <w:rFonts w:hint="eastAsia" w:ascii="宋体" w:hAnsi="宋体" w:eastAsia="宋体" w:cs="宋体"/>
          <w:color w:val="auto"/>
          <w:kern w:val="2"/>
          <w:sz w:val="24"/>
          <w:szCs w:val="24"/>
          <w:lang w:val="en-US" w:eastAsia="zh-CN" w:bidi="ar-SA"/>
        </w:rPr>
        <w:t>），产品材质抗细菌滋生，除菌率（大肠杆菌、金黄色葡萄球菌）＞99%。</w:t>
      </w:r>
      <w:r>
        <w:rPr>
          <w:rFonts w:hint="eastAsia" w:ascii="宋体" w:hAnsi="宋体" w:eastAsia="宋体" w:cs="宋体"/>
          <w:color w:val="FF0000"/>
          <w:kern w:val="2"/>
          <w:sz w:val="24"/>
          <w:szCs w:val="24"/>
          <w:lang w:val="en-US" w:eastAsia="zh-CN" w:bidi="ar-SA"/>
        </w:rPr>
        <w:t>（提供第三方检测报告复印件</w:t>
      </w:r>
      <w:r>
        <w:rPr>
          <w:rFonts w:hint="eastAsia" w:ascii="宋体" w:hAnsi="宋体" w:cs="宋体"/>
          <w:color w:val="FF0000"/>
          <w:kern w:val="2"/>
          <w:sz w:val="24"/>
          <w:szCs w:val="24"/>
          <w:lang w:val="en-US" w:eastAsia="zh-CN" w:bidi="ar-SA"/>
        </w:rPr>
        <w:t>，标注报告所在页码范围</w:t>
      </w:r>
      <w:r>
        <w:rPr>
          <w:rFonts w:hint="eastAsia" w:ascii="宋体" w:hAnsi="宋体" w:eastAsia="宋体" w:cs="宋体"/>
          <w:color w:val="FF0000"/>
          <w:kern w:val="2"/>
          <w:sz w:val="24"/>
          <w:szCs w:val="24"/>
          <w:lang w:val="en-US" w:eastAsia="zh-CN" w:bidi="ar-SA"/>
        </w:rPr>
        <w:t>）</w:t>
      </w:r>
      <w:r>
        <w:rPr>
          <w:rFonts w:hint="eastAsia" w:ascii="宋体" w:hAnsi="宋体" w:eastAsia="宋体" w:cs="宋体"/>
          <w:color w:val="auto"/>
          <w:kern w:val="2"/>
          <w:sz w:val="24"/>
          <w:szCs w:val="24"/>
          <w:lang w:val="en-US" w:eastAsia="zh-CN" w:bidi="ar-SA"/>
        </w:rPr>
        <w:t>，床套面料具有防螨、阻燃功能</w:t>
      </w:r>
      <w:r>
        <w:rPr>
          <w:rFonts w:hint="eastAsia" w:ascii="宋体" w:hAnsi="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2.床头柜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（1）规格：450mm*420mm*750mm ±5mm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（2）床头柜配置：毛巾架 2 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（3）床头柜为 ABS 工程塑料一次注塑成型，柜体板厚度2mm。具备坚固，耐老化，耐褪色，抗酸碱腐蚀。床头柜门、抽及台面为蓝色。</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（4）上抽、下柜，柜内有隔板，可放置不同规格物品。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（5）柜门带自锁装置。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（6）床头柜双侧各带毛巾架,可收折,使用方便。</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color w:val="auto"/>
          <w:kern w:val="2"/>
          <w:sz w:val="32"/>
          <w:szCs w:val="32"/>
          <w:lang w:val="en-US" w:eastAsia="zh-CN" w:bidi="ar-SA"/>
        </w:rPr>
        <w:t>3.陪护床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（1）规格尺寸：1900*620*400mm。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（2）外架采用φ38*1.5mm优质冷轧钢管经专业弯制而成。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（3）椅面椅背采用优质PVC压延人造革包裹。内衬30mm高弹聚醚型聚氨酯泡沫，睡枕采用80mm优质高弹聚醚型聚氨酯泡沫。底板采用高强度多层板，软硬度适宜。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（4）外架连接采用20*40*1.5mm优质冷轧矩管连接而成。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（5）内架采用φ25*1.5优质冷轧钢管经专业折弯而成。框内横向焊接碳钢扁铁承重条，外框架安装Φ75mm的耐磨静音脚轮，内框架安装Φ50mm的耐磨脚轮，使陪伴椅移动方便，收放自如。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（5）坐板框架采用Φ25优质碳钢圆管，经过液压弯管机弯制而成。整体焊接采用CO2保护焊焊接技术，打磨后并经过酸洗、二次磷化、静电喷涂；再经过恒温烘烤，表面涂层光亮牢固。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（6）座板底部采用矩形结构，避免使用不当时坐板曲翘及整床侧翻发生的坠床风险。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（7）主要功能：收起是椅子，展开是可当床使用。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（8）头板与臀板间设有提手，陪伴床在需要时可展开为床，收起时可作座椅使用，椅架采用碳钢管材制作，结构严谨，安全可靠；优雅的弧形扶手，符合人体工学设计，舒适美观使用灵活，节省空间。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（9）额定载荷≥135kg。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（10）整椅采用最新颖设计，色泽柔和高雅，便于清洁。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（11）使用方法：将活动座椅向上抬起，然后向外拉出座椅后即可当床使用，用手将靠背提起同时将座椅向床内推动，确保座椅卡在限位卡内即可收起当座椅使用。</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采购标的需满足产品三包服务、质保期1年（含），以上质保期内产品使用时间不低于347天；销售、生产厂家在四川省或重庆市有售后服务机构（维修点），售后服务响应时间2小时，4小时到达现场维修。质保期内出现因质量问题经过2次维修不能正常使用的，做退、换货处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w:t>
      </w:r>
      <w:r>
        <w:rPr>
          <w:rFonts w:hint="eastAsia" w:ascii="宋体" w:hAnsi="宋体" w:eastAsia="宋体" w:cs="宋体"/>
          <w:color w:val="auto"/>
          <w:sz w:val="24"/>
          <w:szCs w:val="24"/>
          <w:lang w:val="en-US" w:eastAsia="zh-CN"/>
        </w:rPr>
        <w:t>工作日内。</w:t>
      </w:r>
    </w:p>
    <w:p>
      <w:pPr>
        <w:pStyle w:val="6"/>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4、付款方式：一次性开具成交金额发票，</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60日内支付合同金额的90%，180日后支付剩余10%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rPr>
          <w:rFonts w:hint="eastAsia" w:ascii="黑体" w:hAnsi="宋体" w:eastAsia="黑体"/>
          <w:b/>
          <w:bCs/>
          <w:sz w:val="32"/>
          <w:szCs w:val="32"/>
        </w:rPr>
      </w:pPr>
    </w:p>
    <w:p>
      <w:pPr>
        <w:pStyle w:val="2"/>
        <w:rPr>
          <w:rFonts w:hint="eastAsia" w:ascii="黑体" w:hAnsi="宋体" w:eastAsia="黑体"/>
          <w:b/>
          <w:bCs/>
          <w:sz w:val="32"/>
          <w:szCs w:val="32"/>
        </w:rPr>
      </w:pPr>
    </w:p>
    <w:p>
      <w:pPr>
        <w:rPr>
          <w:rFonts w:hint="eastAsia"/>
        </w:rPr>
      </w:pPr>
      <w:bookmarkStart w:id="34" w:name="_GoBack"/>
      <w:bookmarkEnd w:id="34"/>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6E576D1"/>
    <w:rsid w:val="082774BE"/>
    <w:rsid w:val="09124A1D"/>
    <w:rsid w:val="094F4C02"/>
    <w:rsid w:val="0A002AA2"/>
    <w:rsid w:val="0A9262EE"/>
    <w:rsid w:val="0C6738C3"/>
    <w:rsid w:val="0C72629B"/>
    <w:rsid w:val="0D6D5659"/>
    <w:rsid w:val="0EF96A7C"/>
    <w:rsid w:val="0F1C1021"/>
    <w:rsid w:val="108E0E58"/>
    <w:rsid w:val="119F7ECE"/>
    <w:rsid w:val="11B014AE"/>
    <w:rsid w:val="11C753B0"/>
    <w:rsid w:val="1200267B"/>
    <w:rsid w:val="12224C84"/>
    <w:rsid w:val="13D91CFB"/>
    <w:rsid w:val="13F41DEB"/>
    <w:rsid w:val="14322531"/>
    <w:rsid w:val="15C06EFA"/>
    <w:rsid w:val="15C252D6"/>
    <w:rsid w:val="17214185"/>
    <w:rsid w:val="17AC53CA"/>
    <w:rsid w:val="19575943"/>
    <w:rsid w:val="195A66FF"/>
    <w:rsid w:val="196E39FC"/>
    <w:rsid w:val="19970C16"/>
    <w:rsid w:val="19BC4967"/>
    <w:rsid w:val="1A705BA0"/>
    <w:rsid w:val="1CC21F8E"/>
    <w:rsid w:val="1DDF0350"/>
    <w:rsid w:val="1F7A022C"/>
    <w:rsid w:val="1FA30E46"/>
    <w:rsid w:val="1FBF6B0B"/>
    <w:rsid w:val="1FE43AF7"/>
    <w:rsid w:val="205058A7"/>
    <w:rsid w:val="2065124E"/>
    <w:rsid w:val="207460AE"/>
    <w:rsid w:val="209B3F61"/>
    <w:rsid w:val="20E924D6"/>
    <w:rsid w:val="21CC3154"/>
    <w:rsid w:val="22947F00"/>
    <w:rsid w:val="23902475"/>
    <w:rsid w:val="259801CB"/>
    <w:rsid w:val="261424C8"/>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36D52FF"/>
    <w:rsid w:val="344A3C3C"/>
    <w:rsid w:val="357B5200"/>
    <w:rsid w:val="36AB3566"/>
    <w:rsid w:val="37FC6D3C"/>
    <w:rsid w:val="38CF6C67"/>
    <w:rsid w:val="3A027D9F"/>
    <w:rsid w:val="3DA22932"/>
    <w:rsid w:val="3DDF0B5B"/>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B5B68C9"/>
    <w:rsid w:val="4C192B2B"/>
    <w:rsid w:val="4C5A31D0"/>
    <w:rsid w:val="4D094EC3"/>
    <w:rsid w:val="4D3F2ADF"/>
    <w:rsid w:val="4E004785"/>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AF86E8B"/>
    <w:rsid w:val="5C4E7ACC"/>
    <w:rsid w:val="5C57765F"/>
    <w:rsid w:val="5CDC79F3"/>
    <w:rsid w:val="5D7E2CB1"/>
    <w:rsid w:val="5FAB2C98"/>
    <w:rsid w:val="5FB05FBE"/>
    <w:rsid w:val="5FF6089C"/>
    <w:rsid w:val="6005277B"/>
    <w:rsid w:val="603D5D93"/>
    <w:rsid w:val="622D6AC7"/>
    <w:rsid w:val="62835C1F"/>
    <w:rsid w:val="632736DB"/>
    <w:rsid w:val="65DC34B4"/>
    <w:rsid w:val="65F451AE"/>
    <w:rsid w:val="66CC61C3"/>
    <w:rsid w:val="66E13CC8"/>
    <w:rsid w:val="67F65E7C"/>
    <w:rsid w:val="682F0B15"/>
    <w:rsid w:val="68E75513"/>
    <w:rsid w:val="694E3406"/>
    <w:rsid w:val="698836FF"/>
    <w:rsid w:val="6B883AD8"/>
    <w:rsid w:val="6C580329"/>
    <w:rsid w:val="6C681E3D"/>
    <w:rsid w:val="6E8E64EB"/>
    <w:rsid w:val="6F462AF9"/>
    <w:rsid w:val="6FB86553"/>
    <w:rsid w:val="70260E8E"/>
    <w:rsid w:val="7128436B"/>
    <w:rsid w:val="72124A65"/>
    <w:rsid w:val="73A42611"/>
    <w:rsid w:val="73BE5F83"/>
    <w:rsid w:val="750E512E"/>
    <w:rsid w:val="75AC5B7C"/>
    <w:rsid w:val="75F4747B"/>
    <w:rsid w:val="76427C85"/>
    <w:rsid w:val="780D369D"/>
    <w:rsid w:val="791436BF"/>
    <w:rsid w:val="7A3410D9"/>
    <w:rsid w:val="7AA11235"/>
    <w:rsid w:val="7B3E182A"/>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character" w:customStyle="1" w:styleId="30">
    <w:name w:val="Book Title"/>
    <w:autoRedefine/>
    <w:qFormat/>
    <w:uiPriority w:val="0"/>
    <w:rPr>
      <w:rFonts w:cs="Times New Roman"/>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20641</Words>
  <Characters>21540</Characters>
  <Lines>0</Lines>
  <Paragraphs>0</Paragraphs>
  <TotalTime>25</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2024-05-14T00:38:00Z</cp:lastPrinted>
  <dcterms:modified xsi:type="dcterms:W3CDTF">2024-05-14T00:49:08Z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