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843627"/>
      <w:bookmarkEnd w:id="0"/>
      <w:bookmarkStart w:id="1" w:name="_Hlt101233737"/>
      <w:bookmarkEnd w:id="1"/>
      <w:bookmarkStart w:id="2" w:name="_Toc30906"/>
      <w:bookmarkStart w:id="3" w:name="_Toc2769"/>
    </w:p>
    <w:p>
      <w:pPr>
        <w:pStyle w:val="29"/>
      </w:pPr>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eastAsia" w:eastAsiaTheme="minorEastAsia"/>
          <w:lang w:eastAsia="zh-CN"/>
        </w:rPr>
      </w:pPr>
      <w:r>
        <w:rPr>
          <w:b/>
          <w:sz w:val="28"/>
        </w:rPr>
        <w:t>采购项目名称：</w:t>
      </w:r>
      <w:r>
        <w:rPr>
          <w:rFonts w:hint="eastAsia"/>
          <w:b/>
          <w:sz w:val="28"/>
          <w:lang w:eastAsia="zh-CN"/>
        </w:rPr>
        <w:t>邻水县人民医院病床、床头柜、陪护床</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33</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4</w:t>
      </w:r>
      <w:r>
        <w:rPr>
          <w:b/>
          <w:sz w:val="28"/>
        </w:rPr>
        <w:t>月</w:t>
      </w:r>
      <w:r>
        <w:rPr>
          <w:rFonts w:hint="eastAsia"/>
          <w:b/>
          <w:sz w:val="28"/>
          <w:lang w:val="en-US" w:eastAsia="zh-CN"/>
        </w:rPr>
        <w:t>30</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33</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病床、床头柜、陪护床</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26.4</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22.68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eastAsia="zh-CN"/>
        </w:rPr>
        <w:t>无</w:t>
      </w:r>
      <w:r>
        <w:rPr>
          <w:rFonts w:hint="eastAsia" w:ascii="宋体" w:hAnsi="宋体" w:cs="Times New Roman"/>
          <w:sz w:val="24"/>
          <w:szCs w:val="22"/>
        </w:rPr>
        <w:t>。</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lang w:val="en-US" w:eastAsia="zh-CN"/>
        </w:rPr>
        <w:t>5</w:t>
      </w:r>
      <w:r>
        <w:rPr>
          <w:rFonts w:hint="eastAsia" w:ascii="宋体" w:hAnsi="宋体" w:cs="宋体"/>
          <w:b/>
          <w:color w:val="auto"/>
          <w:sz w:val="24"/>
        </w:rPr>
        <w:t>月</w:t>
      </w:r>
      <w:r>
        <w:rPr>
          <w:rFonts w:hint="eastAsia" w:ascii="宋体" w:hAnsi="宋体" w:cs="宋体"/>
          <w:b/>
          <w:color w:val="auto"/>
          <w:sz w:val="24"/>
          <w:lang w:val="en-US" w:eastAsia="zh-CN"/>
        </w:rPr>
        <w:t>10</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10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w:t>
      </w:r>
    </w:p>
    <w:p>
      <w:pPr>
        <w:spacing w:line="400" w:lineRule="exact"/>
        <w:ind w:firstLine="480" w:firstLineChars="200"/>
        <w:rPr>
          <w:rFonts w:hint="eastAsia" w:ascii="宋体" w:hAnsi="宋体" w:cs="宋体"/>
          <w:color w:val="auto"/>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时间：202</w:t>
      </w:r>
      <w:r>
        <w:rPr>
          <w:rFonts w:hint="eastAsia" w:ascii="宋体" w:hAnsi="宋体" w:cs="宋体"/>
          <w:b/>
          <w:color w:val="auto"/>
          <w:sz w:val="24"/>
          <w:lang w:val="en-US" w:eastAsia="zh-CN"/>
        </w:rPr>
        <w:t>4</w:t>
      </w:r>
      <w:r>
        <w:rPr>
          <w:rFonts w:hint="eastAsia" w:ascii="宋体" w:hAnsi="宋体" w:cs="宋体"/>
          <w:b/>
          <w:color w:val="auto"/>
          <w:sz w:val="24"/>
        </w:rPr>
        <w:t>年</w:t>
      </w:r>
      <w:r>
        <w:rPr>
          <w:rFonts w:hint="eastAsia" w:ascii="宋体" w:hAnsi="宋体" w:cs="宋体"/>
          <w:b/>
          <w:color w:val="auto"/>
          <w:sz w:val="24"/>
          <w:u w:val="single"/>
          <w:lang w:val="en-US" w:eastAsia="zh-CN"/>
        </w:rPr>
        <w:t xml:space="preserve"> 5 </w:t>
      </w:r>
      <w:r>
        <w:rPr>
          <w:rFonts w:hint="eastAsia" w:ascii="宋体" w:hAnsi="宋体" w:cs="宋体"/>
          <w:b/>
          <w:color w:val="auto"/>
          <w:sz w:val="24"/>
        </w:rPr>
        <w:t>月</w:t>
      </w:r>
      <w:r>
        <w:rPr>
          <w:rFonts w:hint="eastAsia" w:ascii="宋体" w:hAnsi="宋体" w:cs="宋体"/>
          <w:b/>
          <w:color w:val="auto"/>
          <w:sz w:val="24"/>
          <w:u w:val="single"/>
          <w:lang w:val="en-US" w:eastAsia="zh-CN"/>
        </w:rPr>
        <w:t xml:space="preserve"> 10</w:t>
      </w:r>
      <w:bookmarkStart w:id="34" w:name="_GoBack"/>
      <w:bookmarkEnd w:id="34"/>
      <w:r>
        <w:rPr>
          <w:rFonts w:hint="eastAsia" w:ascii="宋体" w:hAnsi="宋体" w:cs="宋体"/>
          <w:b/>
          <w:color w:val="auto"/>
          <w:sz w:val="24"/>
          <w:u w:val="single"/>
          <w:lang w:val="en-US" w:eastAsia="zh-CN"/>
        </w:rPr>
        <w:t xml:space="preserve"> </w:t>
      </w:r>
      <w:r>
        <w:rPr>
          <w:rFonts w:hint="eastAsia" w:ascii="宋体" w:hAnsi="宋体" w:cs="宋体"/>
          <w:b/>
          <w:color w:val="auto"/>
          <w:sz w:val="24"/>
        </w:rPr>
        <w:t>日</w:t>
      </w:r>
      <w:r>
        <w:rPr>
          <w:rFonts w:hint="eastAsia" w:ascii="宋体" w:hAnsi="宋体" w:eastAsia="宋体" w:cs="宋体"/>
          <w:b/>
          <w:color w:val="auto"/>
          <w:sz w:val="24"/>
          <w:lang w:val="en-US" w:eastAsia="zh-CN"/>
        </w:rPr>
        <w:t>15</w:t>
      </w:r>
      <w:r>
        <w:rPr>
          <w:rFonts w:hint="eastAsia" w:ascii="宋体" w:hAnsi="宋体" w:eastAsia="宋体" w:cs="宋体"/>
          <w:b/>
          <w:color w:val="auto"/>
          <w:sz w:val="24"/>
        </w:rPr>
        <w:t>:</w:t>
      </w:r>
      <w:r>
        <w:rPr>
          <w:rFonts w:hint="eastAsia" w:ascii="宋体" w:hAnsi="宋体" w:cs="宋体"/>
          <w:b/>
          <w:color w:val="auto"/>
          <w:sz w:val="24"/>
          <w:lang w:val="en-US" w:eastAsia="zh-CN"/>
        </w:rPr>
        <w:t>0</w:t>
      </w:r>
      <w:r>
        <w:rPr>
          <w:rFonts w:hint="eastAsia" w:ascii="宋体" w:hAnsi="宋体" w:eastAsia="宋体" w:cs="宋体"/>
          <w:b/>
          <w:color w:val="auto"/>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30日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264</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2268</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w:t>
            </w:r>
            <w:r>
              <w:rPr>
                <w:rFonts w:hint="eastAsia"/>
                <w:lang w:eastAsia="zh-CN"/>
              </w:rPr>
              <w:t>审</w:t>
            </w:r>
            <w:r>
              <w:t>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rPr>
                <w:rFonts w:hint="eastAsia"/>
                <w:lang w:eastAsia="zh-CN"/>
              </w:rPr>
              <w:t>投标</w:t>
            </w:r>
            <w:r>
              <w:t>保证金</w:t>
            </w:r>
          </w:p>
        </w:tc>
        <w:tc>
          <w:tcPr>
            <w:tcW w:w="5184" w:type="dxa"/>
          </w:tcPr>
          <w:p>
            <w:pPr>
              <w:pStyle w:val="29"/>
            </w:pPr>
            <w:r>
              <w:t>本项目不收取</w:t>
            </w:r>
            <w:r>
              <w:rPr>
                <w:rFonts w:hint="eastAsia"/>
                <w:lang w:eastAsia="zh-CN"/>
              </w:rPr>
              <w:t>投标</w:t>
            </w:r>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4"/>
        <w:keepNext w:val="0"/>
        <w:keepLines w:val="0"/>
        <w:spacing w:before="0" w:after="0" w:line="400" w:lineRule="exact"/>
        <w:jc w:val="center"/>
        <w:rPr>
          <w:rFonts w:hint="eastAsia" w:ascii="黑体"/>
          <w:bCs w:val="0"/>
        </w:rPr>
      </w:pPr>
      <w:bookmarkStart w:id="6" w:name="_Toc24295"/>
      <w:bookmarkStart w:id="7" w:name="_Toc15215"/>
      <w:bookmarkStart w:id="8" w:name="_Toc31240"/>
      <w:bookmarkStart w:id="9" w:name="_Toc13038"/>
      <w:bookmarkStart w:id="10" w:name="_Toc17067"/>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color w:val="FF0000"/>
          <w:sz w:val="24"/>
          <w:lang w:eastAsia="zh-CN"/>
        </w:rPr>
        <w:t>本项目核心产品：陪护床。</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cs="宋体"/>
          <w:sz w:val="24"/>
          <w:lang w:val="en-US" w:eastAsia="zh-CN"/>
        </w:rPr>
        <w:t>1</w:t>
      </w:r>
      <w:r>
        <w:rPr>
          <w:rFonts w:hint="eastAsia" w:ascii="宋体" w:hAnsi="宋体" w:eastAsia="宋体" w:cs="宋体"/>
          <w:sz w:val="24"/>
        </w:rPr>
        <w:t>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250646"/>
      <w:bookmarkStart w:id="13" w:name="_Toc101174151"/>
      <w:bookmarkStart w:id="14" w:name="_Toc101338364"/>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28.1 成交供应商应在合同签订之前向采购人交纳采购文件规定数额的履约保证金或银行保函。</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31.1 成交供应商与采购人签订合同后，合同双方应严格执行合同条款，履行合同规定的义务，保证合同的顺利完成。</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32.1本项目采购人将严格按照政府采购相关法律法规以及《财政部关于进一步加强政府采购需求和履约验收管理的指导意见》（财库〔2016〕205号）的要求进行验收。</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b/>
          <w:sz w:val="24"/>
        </w:rPr>
      </w:pPr>
      <w:r>
        <w:rPr>
          <w:rFonts w:hint="eastAsia" w:ascii="宋体" w:hAnsi="宋体" w:eastAsia="宋体" w:cs="Times New Roman"/>
          <w:b/>
          <w:sz w:val="24"/>
        </w:rPr>
        <w:t>34.供应商不得具有的情形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联系人：鲁老师   联系电话：18384510773</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地址：四川省广安市邻水县人民路北段487号</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邮编：638500</w:t>
      </w:r>
    </w:p>
    <w:p>
      <w:pPr>
        <w:pStyle w:val="2"/>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37.（实质性要求）在本次递交响应文件之前一周年内，供应商本次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中对同一品牌同一型号的产品报价与其在中国境内其他地方的最低报价相比不得高于15%。</w:t>
      </w:r>
    </w:p>
    <w:p>
      <w:pPr>
        <w:keepNext w:val="0"/>
        <w:keepLines w:val="0"/>
        <w:pageBreakBefore w:val="0"/>
        <w:widowControl w:val="0"/>
        <w:tabs>
          <w:tab w:val="left" w:pos="851"/>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38.（实质性要求）国家或行业主管部门对供应商和采购产品的技术标准、质量标准和资格资质条件等有强制性规定的，必须符合其要求</w:t>
      </w:r>
      <w:r>
        <w:rPr>
          <w:rFonts w:hint="eastAsia" w:ascii="宋体" w:hAnsi="宋体" w:eastAsia="宋体" w:cs="Times New Roman"/>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adjustRightInd w:val="0"/>
        <w:spacing w:line="360" w:lineRule="auto"/>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eastAsia="zh-CN"/>
        </w:rPr>
        <w:t>无</w:t>
      </w:r>
      <w:r>
        <w:rPr>
          <w:rFonts w:hint="eastAsia" w:ascii="宋体" w:hAnsi="宋体" w:eastAsia="宋体" w:cs="Times New Roman"/>
          <w:b w:val="0"/>
          <w:bCs w:val="0"/>
          <w:sz w:val="24"/>
          <w:lang w:val="en-US" w:eastAsia="zh-CN"/>
        </w:rPr>
        <w:t>。</w:t>
      </w:r>
    </w:p>
    <w:p>
      <w:pPr>
        <w:pStyle w:val="2"/>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89075878"/>
      <w:bookmarkStart w:id="19" w:name="_Toc183682368"/>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病床、床头柜、陪护床</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157"/>
        <w:gridCol w:w="1480"/>
        <w:gridCol w:w="1547"/>
        <w:gridCol w:w="13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jc w:val="center"/>
        </w:trPr>
        <w:tc>
          <w:tcPr>
            <w:tcW w:w="831" w:type="dxa"/>
            <w:vAlign w:val="center"/>
          </w:tcPr>
          <w:p>
            <w:pPr>
              <w:pStyle w:val="29"/>
              <w:jc w:val="center"/>
              <w:rPr>
                <w:sz w:val="24"/>
                <w:szCs w:val="24"/>
              </w:rPr>
            </w:pPr>
            <w:r>
              <w:rPr>
                <w:sz w:val="24"/>
                <w:szCs w:val="24"/>
              </w:rPr>
              <w:t>序号</w:t>
            </w:r>
          </w:p>
        </w:tc>
        <w:tc>
          <w:tcPr>
            <w:tcW w:w="3157" w:type="dxa"/>
            <w:vAlign w:val="center"/>
          </w:tcPr>
          <w:p>
            <w:pPr>
              <w:pStyle w:val="29"/>
              <w:jc w:val="center"/>
              <w:rPr>
                <w:sz w:val="24"/>
                <w:szCs w:val="24"/>
              </w:rPr>
            </w:pPr>
            <w:r>
              <w:rPr>
                <w:sz w:val="24"/>
                <w:szCs w:val="24"/>
              </w:rPr>
              <w:t>标的名称</w:t>
            </w:r>
          </w:p>
        </w:tc>
        <w:tc>
          <w:tcPr>
            <w:tcW w:w="1480" w:type="dxa"/>
            <w:vAlign w:val="top"/>
          </w:tcPr>
          <w:p>
            <w:pPr>
              <w:pageBreakBefore w:val="0"/>
              <w:kinsoku/>
              <w:wordWrap/>
              <w:overflowPunct/>
              <w:topLinePunct w:val="0"/>
              <w:autoSpaceDE/>
              <w:autoSpaceDN/>
              <w:bidi w:val="0"/>
              <w:adjustRightInd/>
              <w:snapToGrid/>
              <w:spacing w:line="440" w:lineRule="exact"/>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单位</w:t>
            </w:r>
          </w:p>
        </w:tc>
        <w:tc>
          <w:tcPr>
            <w:tcW w:w="1547"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cstheme="minorBidi"/>
                <w:kern w:val="0"/>
                <w:sz w:val="24"/>
                <w:szCs w:val="24"/>
                <w:lang w:val="en-US" w:eastAsia="zh-CN"/>
              </w:rPr>
              <w:t>数量</w:t>
            </w:r>
          </w:p>
        </w:tc>
        <w:tc>
          <w:tcPr>
            <w:tcW w:w="1320" w:type="dxa"/>
            <w:vAlign w:val="center"/>
          </w:tcPr>
          <w:p>
            <w:pPr>
              <w:pStyle w:val="29"/>
              <w:jc w:val="center"/>
              <w:rPr>
                <w:rFonts w:hint="eastAsia" w:asciiTheme="minorHAnsi" w:hAnsiTheme="minorHAnsi" w:eastAsiaTheme="minorEastAsia" w:cstheme="minorBidi"/>
                <w:kern w:val="0"/>
                <w:sz w:val="24"/>
                <w:szCs w:val="24"/>
                <w:lang w:val="en-US" w:eastAsia="zh-CN"/>
              </w:rPr>
            </w:pPr>
            <w:r>
              <w:rPr>
                <w:rFonts w:hint="eastAsia" w:asciiTheme="minorHAnsi" w:hAnsiTheme="minorHAnsi" w:eastAsiaTheme="minorEastAsia" w:cstheme="minorBidi"/>
                <w:kern w:val="0"/>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18"/>
                <w:szCs w:val="21"/>
                <w:lang w:val="en-US" w:eastAsia="zh-CN"/>
              </w:rPr>
            </w:pPr>
            <w:r>
              <w:rPr>
                <w:rFonts w:hint="eastAsia" w:cs="Times New Roman"/>
                <w:color w:val="auto"/>
                <w:kern w:val="0"/>
                <w:sz w:val="24"/>
                <w:szCs w:val="24"/>
                <w:u w:val="none"/>
                <w:lang w:val="en-US" w:eastAsia="zh-CN"/>
              </w:rPr>
              <w:t>病床</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15"/>
                <w:szCs w:val="15"/>
                <w:lang w:val="en-US"/>
              </w:rPr>
            </w:pPr>
            <w:r>
              <w:rPr>
                <w:rFonts w:hint="eastAsia" w:cs="Times New Roman"/>
                <w:color w:val="auto"/>
                <w:kern w:val="0"/>
                <w:sz w:val="24"/>
                <w:szCs w:val="24"/>
                <w:u w:val="none"/>
                <w:lang w:val="en-US" w:eastAsia="zh-CN"/>
              </w:rPr>
              <w:t>张</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cs="Times New Roman"/>
                <w:color w:val="auto"/>
                <w:kern w:val="0"/>
                <w:sz w:val="24"/>
                <w:szCs w:val="24"/>
                <w:u w:val="none"/>
                <w:lang w:val="en-US" w:eastAsia="zh-CN"/>
              </w:rPr>
              <w:t>40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2</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18"/>
                <w:szCs w:val="21"/>
                <w:lang w:val="en-US" w:eastAsia="zh-CN"/>
              </w:rPr>
            </w:pPr>
            <w:r>
              <w:rPr>
                <w:rFonts w:hint="eastAsia" w:cs="Times New Roman"/>
                <w:color w:val="auto"/>
                <w:kern w:val="0"/>
                <w:sz w:val="24"/>
                <w:szCs w:val="24"/>
                <w:u w:val="none"/>
                <w:lang w:val="en-US" w:eastAsia="zh-CN"/>
              </w:rPr>
              <w:t>床头柜</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color w:val="auto"/>
                <w:kern w:val="2"/>
                <w:sz w:val="21"/>
                <w:szCs w:val="21"/>
                <w:lang w:val="en-US" w:eastAsia="zh-CN" w:bidi="ar-SA"/>
              </w:rPr>
            </w:pPr>
            <w:r>
              <w:rPr>
                <w:rFonts w:hint="eastAsia" w:cs="Times New Roman"/>
                <w:color w:val="auto"/>
                <w:kern w:val="0"/>
                <w:sz w:val="24"/>
                <w:szCs w:val="24"/>
                <w:u w:val="none"/>
                <w:lang w:val="en-US" w:eastAsia="zh-CN"/>
              </w:rPr>
              <w:t>个</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cs="Times New Roman"/>
                <w:color w:val="auto"/>
                <w:kern w:val="0"/>
                <w:sz w:val="24"/>
                <w:szCs w:val="24"/>
                <w:u w:val="none"/>
                <w:lang w:val="en-US" w:eastAsia="zh-CN"/>
              </w:rPr>
              <w:t>200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keepNext w:val="0"/>
              <w:keepLines w:val="0"/>
              <w:pageBreakBefore w:val="0"/>
              <w:kinsoku/>
              <w:wordWrap/>
              <w:overflowPunct w:val="0"/>
              <w:topLinePunct w:val="0"/>
              <w:autoSpaceDE/>
              <w:autoSpaceDN/>
              <w:bidi w:val="0"/>
              <w:adjustRightInd w:val="0"/>
              <w:snapToGrid w:val="0"/>
              <w:spacing w:line="580" w:lineRule="exact"/>
              <w:ind w:right="0" w:rightChars="0" w:firstLine="240" w:firstLineChars="100"/>
              <w:jc w:val="both"/>
              <w:outlineLvl w:val="9"/>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val="0"/>
                <w:bCs w:val="0"/>
                <w:color w:val="auto"/>
                <w:sz w:val="24"/>
                <w:szCs w:val="24"/>
                <w:vertAlign w:val="baseline"/>
                <w:lang w:val="en-US" w:eastAsia="zh-CN"/>
              </w:rPr>
              <w:t>3</w:t>
            </w:r>
          </w:p>
        </w:tc>
        <w:tc>
          <w:tcPr>
            <w:tcW w:w="3157"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sz w:val="18"/>
                <w:szCs w:val="21"/>
                <w:lang w:val="en-US" w:eastAsia="zh-CN"/>
              </w:rPr>
            </w:pPr>
            <w:r>
              <w:rPr>
                <w:rFonts w:hint="eastAsia" w:cs="Times New Roman"/>
                <w:color w:val="auto"/>
                <w:kern w:val="0"/>
                <w:sz w:val="24"/>
                <w:szCs w:val="24"/>
                <w:u w:val="none"/>
                <w:lang w:val="en-US" w:eastAsia="zh-CN"/>
              </w:rPr>
              <w:t>陪护床</w:t>
            </w:r>
          </w:p>
        </w:tc>
        <w:tc>
          <w:tcPr>
            <w:tcW w:w="148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color w:val="auto"/>
                <w:kern w:val="2"/>
                <w:sz w:val="21"/>
                <w:szCs w:val="21"/>
                <w:lang w:val="en-US" w:eastAsia="zh-CN" w:bidi="ar-SA"/>
              </w:rPr>
            </w:pPr>
            <w:r>
              <w:rPr>
                <w:rFonts w:hint="eastAsia" w:cs="Times New Roman"/>
                <w:color w:val="auto"/>
                <w:kern w:val="0"/>
                <w:sz w:val="24"/>
                <w:szCs w:val="24"/>
                <w:u w:val="none"/>
                <w:lang w:val="en-US" w:eastAsia="zh-CN"/>
              </w:rPr>
              <w:t>张</w:t>
            </w:r>
          </w:p>
        </w:tc>
        <w:tc>
          <w:tcPr>
            <w:tcW w:w="1547"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sz w:val="16"/>
                <w:szCs w:val="16"/>
              </w:rPr>
            </w:pPr>
            <w:r>
              <w:rPr>
                <w:rFonts w:hint="eastAsia" w:cs="Times New Roman"/>
                <w:color w:val="auto"/>
                <w:kern w:val="0"/>
                <w:sz w:val="24"/>
                <w:szCs w:val="24"/>
                <w:u w:val="none"/>
                <w:lang w:val="en-US" w:eastAsia="zh-CN"/>
              </w:rPr>
              <w:t>200</w:t>
            </w:r>
          </w:p>
        </w:tc>
        <w:tc>
          <w:tcPr>
            <w:tcW w:w="1320" w:type="dxa"/>
            <w:vAlign w:val="center"/>
          </w:tcPr>
          <w:p>
            <w:pPr>
              <w:pStyle w:val="13"/>
              <w:pageBreakBefore w:val="0"/>
              <w:widowControl/>
              <w:numPr>
                <w:ilvl w:val="0"/>
                <w:numId w:val="0"/>
              </w:numPr>
              <w:kinsoku/>
              <w:wordWrap/>
              <w:overflowPunct w:val="0"/>
              <w:topLinePunct w:val="0"/>
              <w:autoSpaceDE/>
              <w:autoSpaceDN/>
              <w:bidi w:val="0"/>
              <w:adjustRightInd w:val="0"/>
              <w:snapToGrid/>
              <w:spacing w:before="0" w:beforeAutospacing="0" w:after="0"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4"/>
                <w:szCs w:val="24"/>
                <w:vertAlign w:val="baseline"/>
                <w:lang w:val="en-US" w:eastAsia="zh-CN"/>
              </w:rPr>
            </w:pPr>
          </w:p>
        </w:tc>
      </w:tr>
    </w:tbl>
    <w:p>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color w:val="auto"/>
          <w:kern w:val="2"/>
          <w:sz w:val="32"/>
          <w:szCs w:val="32"/>
          <w:lang w:val="en-US" w:eastAsia="zh-CN" w:bidi="ar-SA"/>
        </w:rPr>
        <w:t>1.病床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（1）配置清单：手摇式三折病床床体1张、ABS床头板1副、ABS护栏2片、床边引流挂钩2个、床垫限位杆1个、三折床垫1张、静音脚轮4个（中控刹车）、翻转餐桌板1个。</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（2）规格尺寸： 2150*900*520mm±10mm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（3）床头中部蓝色，摇手柄均为杏色，床头板边角为蓝色。</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（4）床面额定载荷240KG，有效载荷≥520KG。（提供第三方检测报告复印件）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床头尾板采用强化ABS材质，耐腐蚀、抗老化、坚固，一次注塑成型，床四角处带防撞轮，避免直接碰撞硬物，配置床头卡。床头中部内外均设置两个ABS扣板，浅蓝风格，ABS扣板采用模具成型咬合工艺，长久使用不变形、不脱落，避免传统贴纸技术易掉色、易脱落的弊病。床头尾板颜色周边为乳白色。挂板式结构，可拆卸，床尾比床头低100mm，便于护理操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（6）床框采用≥30×70×1.5mm优质冷轧钢管。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（7）腿部、背部升降系统采用双支撑结构，有效分散承重力，支撑顶端采用滑轮结构，使用轻便。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（8）升降系统横管采用≥厚度2.0mm优质无缝碳素钢管，背部升降双支撑采用≥30×60×1.2mm优质碳钢矩形管。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床脚架采用≥30×50×1.2mm优质碳钢矩形管，脚架为整体焊接结构，具备高度防撞能力，保证长久使用稳固。脚轮采用Φ125带刹双面全塑白色静音脚轮。。负载能力:单只脚轮轮动载100kg，静载125kg。结构功能创新设计有实用新型专利（提供生产厂家专利证书），脚轮厂家具有知识产权管理体系认证，通过ISO9001/13485认证，高新技术企业认证，ROHS认证，CE认证，EN12531认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床面板采用≥厚度1.0mm优质冷轧钢板一次压制成型，坚固、实用，带透气孔，床面内四方采用≥30×30×1.0mm优质碳钢矩形管加强，床面各段使用全钢件连接，钢件外部套用塑料件，减少长期使用升降中产生噪音，避免塑料件承重、摩擦易损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（11）背板折起角度0º-80º，腿板折起角度0º-50º。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（12）传动装置（提供第三方检测报告复印件）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摇把采用ASB工程塑料一次注塑成型，摇把具有防撞结构设计，在摇把不使用状态下手柄和摇把座之间可以合起，在摇把使用时手柄和摇把座之间可以形成180°，遇到碰撞和外力时手柄和摇把座之间可以展开。手柄可0°～180°折叠，摇动灵活，无卡阻。摇把和丝杆之间采用“万向接”连接技术，“万向接”为钢件。手摇床丝杆有双向过盈保护装置，丝杆采用机器一次性冷挤压成型。连续升降15000次，测试后结构应完好，丝杆不应有失效。启动扭矩≤1.0N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片ABS升降安全护栏，长宽相配，表面光滑；阻尼器控制速度及噪音,护栏开关采用卡钩紧锁,护栏支撑主体（护栏与床体连接处），支撑部件采用钢板一次冲压成型。床体与床面板二氧化碳保护焊焊接，牢固、可靠，传动受力处采用机器人焊接。（提供购机发票复印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（14）病床表面处理：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床体表层为喷塑结构，喷塑粉末为环保产品，为确保喷塑质量，喷塑流程为正规生产企业，提供相关资料。（提供塑粉第三方检测报告复印件和工艺流程），床面板通过连续150小时以上盐雾测试试验后面板无裂纹、无锈蚀、光滑无变化。（提供第三方检测报告复印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（15）床体头尾处均带输液架插孔（共2个），床框两侧带引流挂钩2个。</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（16）带碳钢杂物架，床脚架一体结构，避免病床推动产生噪音、脱落现象，方便护理统一管理。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（17）配翻转餐桌板，餐板支架两侧有锁紧装置，餐桌板在不用时可收放床尾。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 床垫厚度70mm，配套床垫由高密度海绵和椰棕组成，内衬优质海绵厚度40mm，椰棕厚度 30mm，床垫外套可拆洗，由优质防水布制作。床垫海绵甲醛含量≦100mg/Kg,PH值4.0-9.0，回弹率≧39%，可分解致癌物≦10mg/Kg；椰棕采用环保棕垫，棕垫甲醛释放量≦0.03mg/㎡.h（提供第三方检测报告复印件），产品材质抗细菌滋生，除菌率（大肠杆菌、金黄色葡萄球菌）＞99%。（提供第三方检测报告复印件），床套面料具有防螨、阻燃功能，符合GB/T24253-2009、GB/T5455-2014标准，（注：需提供国家认可的检验检测机构【CNAS或CMA认可】出具的检验检测报告复印件）</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2.床头柜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（1）规格：450mm*420mm*750mm ±5mm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（2）床头柜配置：毛巾架 2 个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（3）床头柜为 ABS 工程塑料一次注塑成型，柜体板厚度2mm。具备坚固，耐老化，耐褪色，抗酸碱腐蚀。床头柜门、抽及台面为蓝色。</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（4）上抽、下柜，柜内有隔板，可放置不同规格物品。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（5）柜门带自锁装置。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（6）床头柜双侧各带毛巾架,可收折,使用方便。</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宋体" w:hAnsi="宋体" w:eastAsia="宋体" w:cs="宋体"/>
          <w:color w:val="auto"/>
          <w:kern w:val="2"/>
          <w:sz w:val="24"/>
          <w:szCs w:val="24"/>
          <w:lang w:val="en-US" w:eastAsia="zh-CN" w:bidi="ar-SA"/>
        </w:rPr>
      </w:pPr>
      <w:r>
        <w:rPr>
          <w:rFonts w:hint="eastAsia" w:ascii="黑体" w:hAnsi="黑体" w:eastAsia="黑体" w:cs="黑体"/>
          <w:color w:val="auto"/>
          <w:kern w:val="2"/>
          <w:sz w:val="32"/>
          <w:szCs w:val="32"/>
          <w:lang w:val="en-US" w:eastAsia="zh-CN" w:bidi="ar-SA"/>
        </w:rPr>
        <w:t>3.陪护床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（1）规格尺寸：1900*620*400mm。</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（2）外架采用φ38*1.5mm优质冷轧钢管经专业弯制而成。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（3）椅面椅背采用优质PVC压延人造革包裹。内衬30mm高弹聚醚型聚氨酯泡沫，睡枕采用80mm优质高弹聚醚型聚氨酯泡沫。底板采用高强度多层板，软硬度适宜。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（4）外架连接采用20*40*1.5mm优质冷轧矩管连接而成。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（5）内架采用φ25*1.5优质冷轧钢管经专业折弯而成。框内横向焊接碳钢扁铁承重条，外框架安装Φ75mm的耐磨静音脚轮，内框架安装Φ50mm的耐磨脚轮，使陪伴椅移动方便，收放自如。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（5）坐板框架采用Φ25优质碳钢圆管，经过液压弯管机弯制而成。整体焊接采用CO2保护焊焊接技术，打磨后并经过酸洗、二次磷化、静电喷涂；再经过恒温烘烤，表面涂层光亮牢固。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（6）座板底部采用矩形结构，避免使用不当时坐板曲翘及整床侧翻发生的坠床风险。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（7）主要功能：收起是椅子，展开是可当床使用。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（8）头板与臀板间设有提手，陪伴床在需要时可展开为床，收起时可作座椅使用，椅架采用碳钢管材制作，结构严谨，安全可靠；优雅的弧形扶手，符合人体工学设计，舒适美观使用灵活，节省空间。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（9）额定载荷≥135kg。</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（10）整椅采用最新颖设计，色泽柔和高雅，便于清洁。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（11）制造商质量体系认证、环境管理体系认证、 职业健康安全管理体系认证涵盖陪伴椅。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（12）使用方法：将活动座椅向上抬起，然后向外拉出座椅后即可当床使用，用手将靠背提起同时将座椅向床内推动，确保座椅卡在限位卡内即可收起当座椅使用。</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采购标的需满足产品三包服务、质保期1年（含），以上质保期内产品使用时间不低于347天；销售、生产厂家在四川省或重庆市有售后服务机构（维修点），售后服务响应时间2小时，4小时到达现场维修。质保期内出现因质量问题经过2次维修不能正常使用的，做退、换货处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6"/>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w:t>
      </w:r>
      <w:r>
        <w:rPr>
          <w:rFonts w:hint="eastAsia" w:ascii="宋体" w:hAnsi="宋体" w:eastAsia="宋体" w:cs="宋体"/>
          <w:color w:val="auto"/>
          <w:sz w:val="24"/>
          <w:szCs w:val="24"/>
          <w:lang w:val="en-US" w:eastAsia="zh-CN"/>
        </w:rPr>
        <w:t>工作日内。</w:t>
      </w:r>
    </w:p>
    <w:p>
      <w:pPr>
        <w:pStyle w:val="6"/>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4、付款方式：一次性开具成交金额发票，</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60日内支付合同金额的90%，180日后支付剩余10%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4</w:t>
      </w:r>
      <w:r>
        <w:rPr>
          <w:rFonts w:hint="default" w:ascii="宋体" w:hAnsi="宋体" w:eastAsia="宋体" w:cs="Times New Roman"/>
          <w:sz w:val="24"/>
          <w:szCs w:val="24"/>
          <w:lang w:val="en-US" w:eastAsia="zh-CN"/>
        </w:rPr>
        <w:t>年（含）以后生产的产品。</w:t>
      </w: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4"/>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6E576D1"/>
    <w:rsid w:val="082774BE"/>
    <w:rsid w:val="09124A1D"/>
    <w:rsid w:val="094F4C02"/>
    <w:rsid w:val="0A002AA2"/>
    <w:rsid w:val="0C6738C3"/>
    <w:rsid w:val="0C72629B"/>
    <w:rsid w:val="0D6D5659"/>
    <w:rsid w:val="0EF96A7C"/>
    <w:rsid w:val="0F1C1021"/>
    <w:rsid w:val="108E0E58"/>
    <w:rsid w:val="11B014AE"/>
    <w:rsid w:val="11C753B0"/>
    <w:rsid w:val="1200267B"/>
    <w:rsid w:val="12224C84"/>
    <w:rsid w:val="13D91CFB"/>
    <w:rsid w:val="13F41DEB"/>
    <w:rsid w:val="14322531"/>
    <w:rsid w:val="15C06EFA"/>
    <w:rsid w:val="15C252D6"/>
    <w:rsid w:val="17214185"/>
    <w:rsid w:val="17AC53CA"/>
    <w:rsid w:val="19575943"/>
    <w:rsid w:val="195A66FF"/>
    <w:rsid w:val="196E39FC"/>
    <w:rsid w:val="19970C16"/>
    <w:rsid w:val="19BC4967"/>
    <w:rsid w:val="1A705BA0"/>
    <w:rsid w:val="1CC21F8E"/>
    <w:rsid w:val="1DDF0350"/>
    <w:rsid w:val="1F7A022C"/>
    <w:rsid w:val="1FA30E46"/>
    <w:rsid w:val="1FBF6B0B"/>
    <w:rsid w:val="1FE43AF7"/>
    <w:rsid w:val="205058A7"/>
    <w:rsid w:val="2065124E"/>
    <w:rsid w:val="207460AE"/>
    <w:rsid w:val="209B3F61"/>
    <w:rsid w:val="20E924D6"/>
    <w:rsid w:val="21CC3154"/>
    <w:rsid w:val="22947F00"/>
    <w:rsid w:val="23902475"/>
    <w:rsid w:val="259801CB"/>
    <w:rsid w:val="261424C8"/>
    <w:rsid w:val="27644041"/>
    <w:rsid w:val="28FC7A35"/>
    <w:rsid w:val="2AE95BE6"/>
    <w:rsid w:val="2B4F4C91"/>
    <w:rsid w:val="2C0F10F4"/>
    <w:rsid w:val="2C974493"/>
    <w:rsid w:val="2D543928"/>
    <w:rsid w:val="2D862680"/>
    <w:rsid w:val="2DBA37B3"/>
    <w:rsid w:val="2E8C6168"/>
    <w:rsid w:val="2F0E0B67"/>
    <w:rsid w:val="2F2A085D"/>
    <w:rsid w:val="2FA12F82"/>
    <w:rsid w:val="2FD6310C"/>
    <w:rsid w:val="30475B03"/>
    <w:rsid w:val="31C75BFC"/>
    <w:rsid w:val="31E056B1"/>
    <w:rsid w:val="322C2A29"/>
    <w:rsid w:val="32415C43"/>
    <w:rsid w:val="324E00CB"/>
    <w:rsid w:val="336D52FF"/>
    <w:rsid w:val="344A3C3C"/>
    <w:rsid w:val="357B5200"/>
    <w:rsid w:val="36AB3566"/>
    <w:rsid w:val="37FC6D3C"/>
    <w:rsid w:val="38CF6C67"/>
    <w:rsid w:val="3A027D9F"/>
    <w:rsid w:val="3DA22932"/>
    <w:rsid w:val="3DDF0B5B"/>
    <w:rsid w:val="3F806480"/>
    <w:rsid w:val="42EA597B"/>
    <w:rsid w:val="435B5C38"/>
    <w:rsid w:val="43FD38FB"/>
    <w:rsid w:val="4411464B"/>
    <w:rsid w:val="441E338F"/>
    <w:rsid w:val="45AB4CC4"/>
    <w:rsid w:val="45F91CA4"/>
    <w:rsid w:val="46F04E55"/>
    <w:rsid w:val="47444D75"/>
    <w:rsid w:val="474C0012"/>
    <w:rsid w:val="48C81FD4"/>
    <w:rsid w:val="48E803B4"/>
    <w:rsid w:val="498F7B0C"/>
    <w:rsid w:val="4A1A4C1E"/>
    <w:rsid w:val="4A6A4F1F"/>
    <w:rsid w:val="4AE905BD"/>
    <w:rsid w:val="4AF905C9"/>
    <w:rsid w:val="4C192B2B"/>
    <w:rsid w:val="4C5A31D0"/>
    <w:rsid w:val="4D094EC3"/>
    <w:rsid w:val="4D3F2ADF"/>
    <w:rsid w:val="4E004785"/>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AF86E8B"/>
    <w:rsid w:val="5C4E7ACC"/>
    <w:rsid w:val="5C57765F"/>
    <w:rsid w:val="5CDC79F3"/>
    <w:rsid w:val="5D7E2CB1"/>
    <w:rsid w:val="5FAB2C98"/>
    <w:rsid w:val="5FB05FBE"/>
    <w:rsid w:val="5FF6089C"/>
    <w:rsid w:val="6005277B"/>
    <w:rsid w:val="603D5D93"/>
    <w:rsid w:val="622D6AC7"/>
    <w:rsid w:val="62835C1F"/>
    <w:rsid w:val="632736DB"/>
    <w:rsid w:val="65DC34B4"/>
    <w:rsid w:val="65F451AE"/>
    <w:rsid w:val="66CC61C3"/>
    <w:rsid w:val="66E13CC8"/>
    <w:rsid w:val="67F65E7C"/>
    <w:rsid w:val="682F0B15"/>
    <w:rsid w:val="68E75513"/>
    <w:rsid w:val="694E3406"/>
    <w:rsid w:val="698836FF"/>
    <w:rsid w:val="6B883AD8"/>
    <w:rsid w:val="6C580329"/>
    <w:rsid w:val="6C681E3D"/>
    <w:rsid w:val="6E8E64EB"/>
    <w:rsid w:val="6F462AF9"/>
    <w:rsid w:val="6FB86553"/>
    <w:rsid w:val="70260E8E"/>
    <w:rsid w:val="7128436B"/>
    <w:rsid w:val="72124A65"/>
    <w:rsid w:val="73A42611"/>
    <w:rsid w:val="73BE5F83"/>
    <w:rsid w:val="750E512E"/>
    <w:rsid w:val="75AC5B7C"/>
    <w:rsid w:val="75F4747B"/>
    <w:rsid w:val="76427C85"/>
    <w:rsid w:val="780D369D"/>
    <w:rsid w:val="791436BF"/>
    <w:rsid w:val="7A3410D9"/>
    <w:rsid w:val="7AA11235"/>
    <w:rsid w:val="7B3E182A"/>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character" w:customStyle="1" w:styleId="30">
    <w:name w:val="Book Title"/>
    <w:autoRedefine/>
    <w:qFormat/>
    <w:uiPriority w:val="0"/>
    <w:rPr>
      <w:rFonts w:cs="Times New Roman"/>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20641</Words>
  <Characters>21540</Characters>
  <Lines>0</Lines>
  <Paragraphs>0</Paragraphs>
  <TotalTime>5</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2024-05-06T01:54:44Z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