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4"/>
          <w:szCs w:val="44"/>
          <w:lang w:eastAsia="zh-CN"/>
        </w:rPr>
      </w:pPr>
      <w:bookmarkStart w:id="0" w:name="_Hlt101233737"/>
      <w:bookmarkEnd w:id="0"/>
      <w:bookmarkStart w:id="1" w:name="_Hlt101843627"/>
      <w:bookmarkEnd w:id="1"/>
    </w:p>
    <w:p>
      <w:pPr>
        <w:jc w:val="center"/>
        <w:rPr>
          <w:rFonts w:hint="eastAsia" w:ascii="宋体"/>
          <w:b/>
          <w:sz w:val="44"/>
          <w:szCs w:val="44"/>
          <w:lang w:eastAsia="zh-CN"/>
        </w:rPr>
      </w:pPr>
    </w:p>
    <w:p>
      <w:pPr>
        <w:jc w:val="center"/>
        <w:rPr>
          <w:rFonts w:hint="eastAsia" w:ascii="宋体"/>
          <w:b/>
          <w:sz w:val="44"/>
          <w:szCs w:val="44"/>
          <w:lang w:eastAsia="zh-CN"/>
        </w:rPr>
      </w:pPr>
      <w:r>
        <w:rPr>
          <w:rFonts w:hint="eastAsia" w:ascii="宋体"/>
          <w:b/>
          <w:w w:val="90"/>
          <w:sz w:val="44"/>
          <w:szCs w:val="44"/>
          <w:lang w:eastAsia="zh-CN"/>
        </w:rPr>
        <w:t>邻水县人民医院</w:t>
      </w:r>
      <w:r>
        <w:rPr>
          <w:rFonts w:hint="eastAsia" w:ascii="宋体" w:cs="Times New Roman"/>
          <w:b/>
          <w:w w:val="90"/>
          <w:sz w:val="44"/>
          <w:szCs w:val="44"/>
          <w:lang w:val="en-US" w:eastAsia="zh-CN"/>
        </w:rPr>
        <w:t>电针治疗仪等设备采购项目</w:t>
      </w:r>
    </w:p>
    <w:p>
      <w:pPr>
        <w:pStyle w:val="6"/>
        <w:jc w:val="center"/>
        <w:rPr>
          <w:rFonts w:hint="eastAsia"/>
          <w:lang w:eastAsia="zh-CN"/>
        </w:rPr>
      </w:pPr>
    </w:p>
    <w:p>
      <w:pPr>
        <w:jc w:val="center"/>
        <w:rPr>
          <w:rFonts w:hint="eastAsia" w:ascii="宋体"/>
          <w:b/>
          <w:sz w:val="52"/>
          <w:szCs w:val="52"/>
        </w:rPr>
      </w:pPr>
      <w:r>
        <w:rPr>
          <w:rFonts w:hint="eastAsia" w:ascii="宋体"/>
          <w:b/>
          <w:sz w:val="30"/>
          <w:szCs w:val="30"/>
          <w:lang w:eastAsia="zh-CN"/>
        </w:rPr>
        <w:t>项目</w:t>
      </w:r>
      <w:r>
        <w:rPr>
          <w:rFonts w:hint="eastAsia" w:ascii="宋体"/>
          <w:b/>
          <w:sz w:val="30"/>
          <w:szCs w:val="30"/>
        </w:rPr>
        <w:t>编号：LYC-2024-0</w:t>
      </w:r>
      <w:r>
        <w:rPr>
          <w:rFonts w:hint="eastAsia" w:ascii="宋体"/>
          <w:b/>
          <w:sz w:val="30"/>
          <w:szCs w:val="30"/>
          <w:lang w:val="en-US" w:eastAsia="zh-CN"/>
        </w:rPr>
        <w:t>26</w:t>
      </w:r>
    </w:p>
    <w:p>
      <w:pPr>
        <w:jc w:val="center"/>
        <w:rPr>
          <w:rFonts w:hint="eastAsia" w:ascii="宋体"/>
          <w:b/>
          <w:sz w:val="52"/>
          <w:szCs w:val="52"/>
          <w:lang w:eastAsia="zh-CN"/>
        </w:rPr>
      </w:pPr>
    </w:p>
    <w:p>
      <w:pPr>
        <w:jc w:val="center"/>
        <w:rPr>
          <w:rFonts w:hint="eastAsia" w:ascii="宋体"/>
          <w:b/>
          <w:sz w:val="52"/>
          <w:szCs w:val="52"/>
          <w:lang w:eastAsia="zh-CN"/>
        </w:rPr>
      </w:pPr>
      <w:r>
        <w:rPr>
          <w:rFonts w:hint="eastAsia" w:ascii="宋体"/>
          <w:b/>
          <w:sz w:val="52"/>
          <w:szCs w:val="52"/>
          <w:lang w:eastAsia="zh-CN"/>
        </w:rPr>
        <w:t>询</w:t>
      </w:r>
    </w:p>
    <w:p>
      <w:pPr>
        <w:jc w:val="center"/>
        <w:rPr>
          <w:rFonts w:hint="eastAsia" w:ascii="宋体"/>
          <w:b/>
          <w:sz w:val="52"/>
          <w:szCs w:val="52"/>
          <w:lang w:eastAsia="zh-CN"/>
        </w:rPr>
      </w:pPr>
      <w:r>
        <w:rPr>
          <w:rFonts w:hint="eastAsia" w:ascii="宋体"/>
          <w:b/>
          <w:sz w:val="52"/>
          <w:szCs w:val="52"/>
          <w:lang w:eastAsia="zh-CN"/>
        </w:rPr>
        <w:t>价</w:t>
      </w:r>
    </w:p>
    <w:p>
      <w:pPr>
        <w:jc w:val="center"/>
        <w:rPr>
          <w:rFonts w:hint="eastAsia" w:ascii="宋体"/>
          <w:b/>
          <w:sz w:val="52"/>
          <w:szCs w:val="52"/>
          <w:lang w:eastAsia="zh-CN"/>
        </w:rPr>
      </w:pPr>
      <w:r>
        <w:rPr>
          <w:rFonts w:hint="eastAsia" w:ascii="宋体"/>
          <w:b/>
          <w:sz w:val="52"/>
          <w:szCs w:val="52"/>
          <w:lang w:eastAsia="zh-CN"/>
        </w:rPr>
        <w:t>通</w:t>
      </w:r>
    </w:p>
    <w:p>
      <w:pPr>
        <w:jc w:val="center"/>
        <w:rPr>
          <w:rFonts w:hint="eastAsia" w:ascii="宋体"/>
          <w:b/>
          <w:sz w:val="52"/>
          <w:szCs w:val="52"/>
          <w:lang w:eastAsia="zh-CN"/>
        </w:rPr>
      </w:pPr>
      <w:r>
        <w:rPr>
          <w:rFonts w:hint="eastAsia" w:ascii="宋体"/>
          <w:b/>
          <w:sz w:val="52"/>
          <w:szCs w:val="52"/>
          <w:lang w:eastAsia="zh-CN"/>
        </w:rPr>
        <w:t>知</w:t>
      </w:r>
    </w:p>
    <w:p>
      <w:pPr>
        <w:jc w:val="center"/>
        <w:rPr>
          <w:rFonts w:hint="eastAsia"/>
          <w:b/>
          <w:sz w:val="32"/>
          <w:szCs w:val="32"/>
        </w:rPr>
      </w:pPr>
      <w:r>
        <w:rPr>
          <w:rFonts w:hint="eastAsia" w:ascii="宋体"/>
          <w:b/>
          <w:sz w:val="52"/>
          <w:szCs w:val="52"/>
          <w:lang w:eastAsia="zh-CN"/>
        </w:rPr>
        <w:t>书</w:t>
      </w:r>
    </w:p>
    <w:p>
      <w:pPr>
        <w:spacing w:line="360" w:lineRule="auto"/>
        <w:jc w:val="center"/>
        <w:rPr>
          <w:rFonts w:hint="eastAsia"/>
          <w:b/>
          <w:sz w:val="32"/>
          <w:szCs w:val="32"/>
        </w:rPr>
      </w:pP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b/>
          <w:bCs/>
          <w:sz w:val="32"/>
          <w:szCs w:val="32"/>
          <w:lang w:val="zh-CN"/>
        </w:rPr>
      </w:pPr>
      <w:r>
        <w:rPr>
          <w:rFonts w:hint="eastAsia" w:ascii="宋体"/>
          <w:b/>
          <w:sz w:val="30"/>
          <w:szCs w:val="30"/>
        </w:rPr>
        <w:t xml:space="preserve"> </w:t>
      </w:r>
      <w:r>
        <w:rPr>
          <w:rFonts w:hint="eastAsia" w:ascii="宋体"/>
          <w:b/>
          <w:sz w:val="30"/>
          <w:szCs w:val="30"/>
          <w:lang w:val="en-US" w:eastAsia="zh-CN"/>
        </w:rPr>
        <w:t>2024</w:t>
      </w:r>
      <w:r>
        <w:rPr>
          <w:b/>
          <w:bCs/>
          <w:sz w:val="32"/>
          <w:szCs w:val="32"/>
          <w:lang w:val="zh-CN"/>
        </w:rPr>
        <w:t>年</w:t>
      </w:r>
      <w:r>
        <w:rPr>
          <w:rFonts w:hint="eastAsia"/>
          <w:b/>
          <w:bCs/>
          <w:sz w:val="32"/>
          <w:szCs w:val="32"/>
          <w:lang w:val="en-US" w:eastAsia="zh-CN"/>
        </w:rPr>
        <w:t>3</w:t>
      </w:r>
      <w:r>
        <w:rPr>
          <w:b/>
          <w:bCs/>
          <w:sz w:val="32"/>
          <w:szCs w:val="32"/>
          <w:lang w:val="zh-CN"/>
        </w:rPr>
        <w:t>月</w:t>
      </w:r>
    </w:p>
    <w:p>
      <w:pPr>
        <w:pStyle w:val="7"/>
        <w:ind w:firstLine="210"/>
        <w:rPr>
          <w:rFonts w:hint="eastAsia"/>
        </w:rPr>
      </w:pPr>
      <w:r>
        <w:rPr>
          <w:rFonts w:hint="eastAsia" w:ascii="宋体" w:eastAsia="宋体"/>
          <w:bCs w:val="0"/>
          <w:sz w:val="36"/>
        </w:rPr>
        <w:br w:type="page"/>
      </w:r>
      <w:bookmarkStart w:id="2" w:name="_Toc2769"/>
      <w:bookmarkStart w:id="3" w:name="_Toc30906"/>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w:t>
      </w:r>
      <w:r>
        <w:rPr>
          <w:rFonts w:hint="eastAsia" w:ascii="宋体" w:hAnsi="宋体" w:cs="Times New Roman"/>
          <w:color w:val="auto"/>
          <w:sz w:val="24"/>
          <w:highlight w:val="none"/>
          <w:u w:val="single"/>
          <w:lang w:val="en-US" w:eastAsia="zh-CN"/>
        </w:rPr>
        <w:t>6</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电针治疗仪等设备</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10.7</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9.35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4</w:t>
      </w:r>
      <w:r>
        <w:rPr>
          <w:rFonts w:hint="eastAsia" w:ascii="宋体" w:hAnsi="宋体" w:cs="宋体"/>
          <w:b/>
          <w:color w:val="FF0000"/>
          <w:sz w:val="24"/>
        </w:rPr>
        <w:t>月</w:t>
      </w:r>
      <w:r>
        <w:rPr>
          <w:rFonts w:hint="eastAsia" w:ascii="宋体" w:hAnsi="宋体" w:cs="宋体"/>
          <w:b/>
          <w:color w:val="FF0000"/>
          <w:sz w:val="24"/>
          <w:lang w:val="en-US" w:eastAsia="zh-CN"/>
        </w:rPr>
        <w:t>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7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7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29</w:t>
      </w:r>
      <w:bookmarkStart w:id="34" w:name="_GoBack"/>
      <w:bookmarkEnd w:id="34"/>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107</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935</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履约保证金（实质性要求）</w:t>
            </w:r>
          </w:p>
        </w:tc>
        <w:tc>
          <w:tcPr>
            <w:tcW w:w="5184" w:type="dxa"/>
          </w:tcPr>
          <w:p>
            <w:pPr>
              <w:pStyle w:val="29"/>
            </w:pPr>
            <w:r>
              <w:t>本项目不收取</w:t>
            </w:r>
            <w:r>
              <w:rPr>
                <w:rFonts w:hint="eastAsia"/>
                <w:lang w:eastAsia="zh-CN"/>
              </w:rPr>
              <w:t>履约</w:t>
            </w:r>
            <w:r>
              <w:t>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7"/>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24295"/>
      <w:bookmarkStart w:id="7" w:name="_Toc17067"/>
      <w:bookmarkStart w:id="8" w:name="_Toc15215"/>
      <w:bookmarkStart w:id="9" w:name="_Toc31240"/>
      <w:bookmarkStart w:id="10" w:name="_Toc13038"/>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w:t>
      </w:r>
      <w:r>
        <w:rPr>
          <w:rFonts w:hint="eastAsia"/>
          <w:b/>
          <w:bCs/>
          <w:color w:val="FF0000"/>
          <w:sz w:val="24"/>
        </w:rPr>
        <w:t>核心产品</w:t>
      </w:r>
      <w:r>
        <w:rPr>
          <w:rFonts w:hint="eastAsia"/>
          <w:b/>
          <w:bCs/>
          <w:color w:val="FF0000"/>
          <w:sz w:val="24"/>
          <w:lang w:eastAsia="zh-CN"/>
        </w:rPr>
        <w:t>：多功能牵引系统。</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209847069"/>
      <w:bookmarkStart w:id="13" w:name="_Toc101174151"/>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682368"/>
      <w:bookmarkStart w:id="18" w:name="_Toc217446056"/>
      <w:bookmarkStart w:id="19" w:name="_Toc77400782"/>
      <w:bookmarkStart w:id="20" w:name="_Toc183582231"/>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电针治疗仪等设备</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01"/>
        <w:gridCol w:w="984"/>
        <w:gridCol w:w="1104"/>
        <w:gridCol w:w="1716"/>
        <w:gridCol w:w="1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4" w:hRule="atLeast"/>
          <w:jc w:val="center"/>
        </w:trPr>
        <w:tc>
          <w:tcPr>
            <w:tcW w:w="831" w:type="dxa"/>
            <w:vAlign w:val="center"/>
          </w:tcPr>
          <w:p>
            <w:pPr>
              <w:pStyle w:val="29"/>
              <w:jc w:val="center"/>
            </w:pPr>
            <w:r>
              <w:t>序号</w:t>
            </w:r>
          </w:p>
        </w:tc>
        <w:tc>
          <w:tcPr>
            <w:tcW w:w="2001" w:type="dxa"/>
            <w:vAlign w:val="center"/>
          </w:tcPr>
          <w:p>
            <w:pPr>
              <w:pStyle w:val="29"/>
              <w:jc w:val="center"/>
            </w:pPr>
            <w:r>
              <w:t>标的名称</w:t>
            </w:r>
          </w:p>
        </w:tc>
        <w:tc>
          <w:tcPr>
            <w:tcW w:w="984" w:type="dxa"/>
            <w:vAlign w:val="center"/>
          </w:tcPr>
          <w:p>
            <w:pPr>
              <w:pStyle w:val="29"/>
              <w:jc w:val="center"/>
            </w:pPr>
            <w:r>
              <w:t>数量</w:t>
            </w:r>
          </w:p>
        </w:tc>
        <w:tc>
          <w:tcPr>
            <w:tcW w:w="1104" w:type="dxa"/>
            <w:vAlign w:val="center"/>
          </w:tcPr>
          <w:p>
            <w:pPr>
              <w:pStyle w:val="29"/>
              <w:jc w:val="center"/>
            </w:pPr>
            <w:r>
              <w:t>计量单位</w:t>
            </w:r>
          </w:p>
        </w:tc>
        <w:tc>
          <w:tcPr>
            <w:tcW w:w="1716" w:type="dxa"/>
            <w:vAlign w:val="center"/>
          </w:tcPr>
          <w:p>
            <w:pPr>
              <w:pStyle w:val="29"/>
              <w:jc w:val="center"/>
            </w:pPr>
            <w:r>
              <w:t>是否核心产品</w:t>
            </w:r>
          </w:p>
        </w:tc>
        <w:tc>
          <w:tcPr>
            <w:tcW w:w="1871" w:type="dxa"/>
            <w:vAlign w:val="center"/>
          </w:tcPr>
          <w:p>
            <w:pPr>
              <w:pStyle w:val="29"/>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pPr>
              <w:pStyle w:val="29"/>
              <w:jc w:val="center"/>
            </w:pPr>
            <w:r>
              <w:t>1</w:t>
            </w:r>
          </w:p>
        </w:tc>
        <w:tc>
          <w:tcPr>
            <w:tcW w:w="2001" w:type="dxa"/>
            <w:vAlign w:val="center"/>
          </w:tcPr>
          <w:p>
            <w:pPr>
              <w:pStyle w:val="29"/>
              <w:jc w:val="center"/>
              <w:rPr>
                <w:sz w:val="20"/>
                <w:szCs w:val="20"/>
              </w:rPr>
            </w:pPr>
            <w:r>
              <w:rPr>
                <w:rFonts w:hint="eastAsia"/>
                <w:sz w:val="20"/>
                <w:szCs w:val="20"/>
                <w:lang w:eastAsia="zh-CN"/>
              </w:rPr>
              <w:t>电针治疗仪</w:t>
            </w:r>
          </w:p>
        </w:tc>
        <w:tc>
          <w:tcPr>
            <w:tcW w:w="984" w:type="dxa"/>
            <w:vAlign w:val="center"/>
          </w:tcPr>
          <w:p>
            <w:pPr>
              <w:pStyle w:val="29"/>
              <w:jc w:val="center"/>
            </w:pPr>
            <w:r>
              <w:rPr>
                <w:rFonts w:hint="eastAsia"/>
                <w:lang w:val="en-US" w:eastAsia="zh-CN"/>
              </w:rPr>
              <w:t>10</w:t>
            </w:r>
            <w:r>
              <w:t>.00</w:t>
            </w:r>
          </w:p>
        </w:tc>
        <w:tc>
          <w:tcPr>
            <w:tcW w:w="1104" w:type="dxa"/>
            <w:vAlign w:val="center"/>
          </w:tcPr>
          <w:p>
            <w:pPr>
              <w:pStyle w:val="29"/>
              <w:jc w:val="center"/>
              <w:rPr>
                <w:rFonts w:hint="eastAsia" w:eastAsiaTheme="minorEastAsia"/>
                <w:lang w:eastAsia="zh-CN"/>
              </w:rPr>
            </w:pPr>
            <w:r>
              <w:rPr>
                <w:rFonts w:hint="eastAsia"/>
                <w:lang w:eastAsia="zh-CN"/>
              </w:rPr>
              <w:t>台</w:t>
            </w:r>
          </w:p>
        </w:tc>
        <w:tc>
          <w:tcPr>
            <w:tcW w:w="1716" w:type="dxa"/>
            <w:vAlign w:val="center"/>
          </w:tcPr>
          <w:p>
            <w:pPr>
              <w:pStyle w:val="29"/>
              <w:jc w:val="center"/>
              <w:rPr>
                <w:rFonts w:hint="eastAsia" w:eastAsiaTheme="minorEastAsia"/>
                <w:lang w:eastAsia="zh-CN"/>
              </w:rPr>
            </w:pPr>
            <w:r>
              <w:rPr>
                <w:rFonts w:hint="eastAsia"/>
                <w:lang w:eastAsia="zh-CN"/>
              </w:rPr>
              <w:t>否</w:t>
            </w:r>
          </w:p>
        </w:tc>
        <w:tc>
          <w:tcPr>
            <w:tcW w:w="1871" w:type="dxa"/>
            <w:vAlign w:val="center"/>
          </w:tcPr>
          <w:p>
            <w:pPr>
              <w:pStyle w:val="29"/>
              <w:jc w:val="center"/>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pPr>
              <w:pStyle w:val="29"/>
              <w:jc w:val="center"/>
              <w:rPr>
                <w:rFonts w:hint="eastAsia" w:eastAsiaTheme="minorEastAsia"/>
                <w:lang w:val="en-US" w:eastAsia="zh-CN"/>
              </w:rPr>
            </w:pPr>
            <w:r>
              <w:rPr>
                <w:rFonts w:hint="eastAsia"/>
                <w:lang w:val="en-US" w:eastAsia="zh-CN"/>
              </w:rPr>
              <w:t>2</w:t>
            </w:r>
          </w:p>
        </w:tc>
        <w:tc>
          <w:tcPr>
            <w:tcW w:w="2001" w:type="dxa"/>
            <w:vAlign w:val="center"/>
          </w:tcPr>
          <w:p>
            <w:pPr>
              <w:pStyle w:val="29"/>
              <w:jc w:val="center"/>
              <w:rPr>
                <w:rFonts w:hint="eastAsia"/>
                <w:sz w:val="20"/>
                <w:szCs w:val="20"/>
                <w:lang w:eastAsia="zh-CN"/>
              </w:rPr>
            </w:pPr>
            <w:r>
              <w:rPr>
                <w:rFonts w:hint="eastAsia"/>
                <w:sz w:val="20"/>
                <w:szCs w:val="20"/>
                <w:lang w:eastAsia="zh-CN"/>
              </w:rPr>
              <w:t>多功能牵引系统</w:t>
            </w:r>
          </w:p>
        </w:tc>
        <w:tc>
          <w:tcPr>
            <w:tcW w:w="984" w:type="dxa"/>
            <w:vAlign w:val="center"/>
          </w:tcPr>
          <w:p>
            <w:pPr>
              <w:pStyle w:val="29"/>
              <w:jc w:val="center"/>
              <w:rPr>
                <w:rFonts w:hint="default"/>
                <w:lang w:val="en-US" w:eastAsia="zh-CN"/>
              </w:rPr>
            </w:pPr>
            <w:r>
              <w:rPr>
                <w:rFonts w:hint="eastAsia"/>
                <w:lang w:val="en-US" w:eastAsia="zh-CN"/>
              </w:rPr>
              <w:t>4.00</w:t>
            </w:r>
          </w:p>
        </w:tc>
        <w:tc>
          <w:tcPr>
            <w:tcW w:w="1104" w:type="dxa"/>
            <w:vAlign w:val="center"/>
          </w:tcPr>
          <w:p>
            <w:pPr>
              <w:pStyle w:val="29"/>
              <w:jc w:val="center"/>
              <w:rPr>
                <w:rFonts w:hint="eastAsia"/>
                <w:lang w:eastAsia="zh-CN"/>
              </w:rPr>
            </w:pPr>
            <w:r>
              <w:rPr>
                <w:rFonts w:hint="eastAsia"/>
                <w:lang w:eastAsia="zh-CN"/>
              </w:rPr>
              <w:t>台</w:t>
            </w:r>
          </w:p>
        </w:tc>
        <w:tc>
          <w:tcPr>
            <w:tcW w:w="1716" w:type="dxa"/>
            <w:vAlign w:val="center"/>
          </w:tcPr>
          <w:p>
            <w:pPr>
              <w:pStyle w:val="29"/>
              <w:jc w:val="center"/>
              <w:rPr>
                <w:rFonts w:hint="eastAsia" w:eastAsiaTheme="minorEastAsia"/>
                <w:lang w:eastAsia="zh-CN"/>
              </w:rPr>
            </w:pPr>
            <w:r>
              <w:rPr>
                <w:rFonts w:hint="eastAsia"/>
                <w:lang w:eastAsia="zh-CN"/>
              </w:rPr>
              <w:t>是</w:t>
            </w:r>
          </w:p>
        </w:tc>
        <w:tc>
          <w:tcPr>
            <w:tcW w:w="1871" w:type="dxa"/>
            <w:vAlign w:val="center"/>
          </w:tcPr>
          <w:p>
            <w:pPr>
              <w:pStyle w:val="29"/>
              <w:jc w:val="center"/>
              <w:rPr>
                <w:rFonts w:hint="eastAsia" w:eastAsiaTheme="minorEastAsia"/>
                <w:lang w:eastAsia="zh-CN"/>
              </w:rPr>
            </w:pPr>
            <w:r>
              <w:rPr>
                <w:rFonts w:hint="eastAsia"/>
                <w:lang w:eastAsia="zh-CN"/>
              </w:rPr>
              <w:t>否</w:t>
            </w: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pStyle w:val="5"/>
        <w:pageBreakBefore w:val="0"/>
        <w:kinsoku/>
        <w:wordWrap/>
        <w:overflowPunct w:val="0"/>
        <w:topLinePunct w:val="0"/>
        <w:autoSpaceDE/>
        <w:autoSpaceDN/>
        <w:bidi w:val="0"/>
        <w:adjustRightInd w:val="0"/>
        <w:snapToGrid/>
        <w:spacing w:line="580" w:lineRule="exact"/>
        <w:ind w:firstLine="562" w:firstLineChars="200"/>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电针治疗仪</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组成:由主机、皮肤电极、皮肤电极导连线或电极针导连线、穴位探测棒和电源适配器组成。本机有八路输出。</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性能参数:</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脉冲重复频率1Hz±0.5 Hz~100Hz±10Hz连续可调:</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脉冲宽度:0.5ms±0.15MS;</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连续波在250Q负载上输出脉冲幅度10V±20%;</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输出四种波形:连续波、疏密波、间歇波、组合波(前三种波形自动循环输出):</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250Q负载上最大输出电流有效值≤10mA;</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具有定时功能，定时范围(0~60)min±10%。</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功能特点:</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输出波形可选择。</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探测穴位。</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针灸治疗、脉冲理疗、代替人工按摩。</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输出开路、短路保护功能。</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定时治疗音乐提示。</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6</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开机输出安全保护功能。</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w:t>
      </w:r>
      <w:r>
        <w:rPr>
          <w:rFonts w:hint="eastAsia"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内置 9V电池(1.5VX6)、外接220V交流稳压电源。</w:t>
      </w: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562" w:firstLineChars="200"/>
        <w:textAlignment w:val="auto"/>
        <w:rPr>
          <w:rFonts w:hint="eastAsia" w:ascii="仿宋_GB2312" w:hAnsi="仿宋_GB2312" w:eastAsia="仿宋_GB2312" w:cs="仿宋_GB2312"/>
          <w:b/>
          <w:bCs/>
          <w:i w:val="0"/>
          <w:iCs w:val="0"/>
          <w:color w:val="000000"/>
          <w:kern w:val="0"/>
          <w:sz w:val="28"/>
          <w:szCs w:val="28"/>
          <w:u w:val="none"/>
          <w:lang w:val="en-US" w:eastAsia="zh-CN" w:bidi="ar"/>
        </w:rPr>
      </w:pPr>
    </w:p>
    <w:p>
      <w:pPr>
        <w:pStyle w:val="5"/>
        <w:keepNext w:val="0"/>
        <w:keepLines w:val="0"/>
        <w:pageBreakBefore w:val="0"/>
        <w:widowControl w:val="0"/>
        <w:kinsoku/>
        <w:wordWrap/>
        <w:overflowPunct w:val="0"/>
        <w:topLinePunct w:val="0"/>
        <w:autoSpaceDE/>
        <w:autoSpaceDN/>
        <w:bidi w:val="0"/>
        <w:adjustRightInd w:val="0"/>
        <w:snapToGrid/>
        <w:spacing w:line="360" w:lineRule="exact"/>
        <w:ind w:firstLine="562" w:firstLineChars="200"/>
        <w:textAlignment w:val="auto"/>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b/>
          <w:bCs/>
          <w:i w:val="0"/>
          <w:iCs w:val="0"/>
          <w:color w:val="000000"/>
          <w:kern w:val="0"/>
          <w:sz w:val="28"/>
          <w:szCs w:val="28"/>
          <w:u w:val="none"/>
          <w:lang w:val="en-US" w:eastAsia="zh-CN" w:bidi="ar"/>
        </w:rPr>
        <w:t>多功能牵引系统</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 xml:space="preserve">电源：AC 220V/50Hz    </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输入功率：200</w:t>
      </w:r>
      <w:r>
        <w:rPr>
          <w:rFonts w:hint="eastAsia" w:ascii="宋体" w:hAnsi="宋体" w:cs="宋体"/>
          <w:color w:val="auto"/>
          <w:kern w:val="2"/>
          <w:sz w:val="24"/>
          <w:szCs w:val="24"/>
          <w:lang w:val="en-US" w:eastAsia="zh-CN" w:bidi="ar-SA"/>
        </w:rPr>
        <w:t>-300</w:t>
      </w:r>
      <w:r>
        <w:rPr>
          <w:rFonts w:hint="eastAsia" w:ascii="宋体" w:hAnsi="宋体" w:eastAsia="宋体" w:cs="宋体"/>
          <w:color w:val="auto"/>
          <w:kern w:val="2"/>
          <w:sz w:val="24"/>
          <w:szCs w:val="24"/>
          <w:lang w:val="en-US" w:eastAsia="zh-CN" w:bidi="ar-SA"/>
        </w:rPr>
        <w:t>VA</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腰椎牵引力：0-900N任意可调</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颈椎牵引力：0-300N任意可调</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牵引总时间：0-60min可调</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 xml:space="preserve">牵引时间：0-9min任意可调 </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 xml:space="preserve">间歇时间：0-90s任意可调     </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腰椎牵引行程：0-200mm</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9.</w:t>
      </w:r>
      <w:r>
        <w:rPr>
          <w:rFonts w:hint="eastAsia" w:ascii="宋体" w:hAnsi="宋体" w:eastAsia="宋体" w:cs="宋体"/>
          <w:color w:val="auto"/>
          <w:kern w:val="2"/>
          <w:sz w:val="24"/>
          <w:szCs w:val="24"/>
          <w:lang w:val="en-US" w:eastAsia="zh-CN" w:bidi="ar-SA"/>
        </w:rPr>
        <w:t>颈椎牵引行程：0-300mm</w:t>
      </w:r>
    </w:p>
    <w:p>
      <w:pPr>
        <w:keepNext w:val="0"/>
        <w:keepLines w:val="0"/>
        <w:pageBreakBefore w:val="0"/>
        <w:widowControl w:val="0"/>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10.牵引床做成角运动时，上床面上下摆动，当上床面向上摆动时，上床面与水平面夹角为20°±2°； 当上床面向下摆动时，上床面与水平面夹角为10°±2°； </w:t>
      </w:r>
    </w:p>
    <w:p>
      <w:pPr>
        <w:keepNext w:val="0"/>
        <w:keepLines w:val="0"/>
        <w:pageBreakBefore w:val="0"/>
        <w:widowControl w:val="0"/>
        <w:kinsoku/>
        <w:wordWrap/>
        <w:topLinePunct w:val="0"/>
        <w:autoSpaceDE/>
        <w:autoSpaceDN/>
        <w:bidi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11.牵引床做旋转运动时，上床面左右旋转，上床面与水平面夹角为25°±2°；</w:t>
      </w:r>
    </w:p>
    <w:p>
      <w:pPr>
        <w:keepNext w:val="0"/>
        <w:keepLines w:val="0"/>
        <w:pageBreakBefore w:val="0"/>
        <w:widowControl w:val="0"/>
        <w:kinsoku/>
        <w:wordWrap/>
        <w:topLinePunct w:val="0"/>
        <w:autoSpaceDE/>
        <w:autoSpaceDN/>
        <w:bidi w:val="0"/>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性能描述</w:t>
      </w:r>
      <w:r>
        <w:rPr>
          <w:rFonts w:hint="eastAsia" w:ascii="宋体" w:hAnsi="宋体" w:cs="宋体"/>
          <w:color w:val="auto"/>
          <w:kern w:val="2"/>
          <w:sz w:val="24"/>
          <w:szCs w:val="24"/>
          <w:lang w:val="en-US" w:eastAsia="zh-CN" w:bidi="ar-SA"/>
        </w:rPr>
        <w:t>：</w:t>
      </w:r>
    </w:p>
    <w:p>
      <w:pPr>
        <w:pStyle w:val="26"/>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LED数码管或LCD液晶屏显示牵引力、牵引时间，间歇时间等治疗参数，直观、清晰。</w:t>
      </w:r>
    </w:p>
    <w:p>
      <w:pPr>
        <w:pStyle w:val="26"/>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采用低噪音直线电机，使用寿命长，性能更稳定。</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微电脑控制牵引力、牵引时间。牵引力的调节系统为闭环系统，牵引力能自动补偿。</w:t>
      </w:r>
    </w:p>
    <w:p>
      <w:pPr>
        <w:pStyle w:val="26"/>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系统提供八种牵引模式,既可持续牵引,也可间歇牵引。</w:t>
      </w:r>
    </w:p>
    <w:p>
      <w:pPr>
        <w:pStyle w:val="26"/>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具有纵向牵引、上下成角牵引、左右旋转牵引；既可单一牵引，也可三维组合牵引。</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设备可供一名患者进行颈椎牵引治疗的同时，另一名患者进行腰椎牵引治疗，缩短了病患的等候时间，提高了医院的经济效益。</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7</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系统可储存二十个病历档案，每个病例治疗参数可随时读取，方便临床工作的开展与研究。</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8</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设备既有供患者操作的手持式急退开关，又有供医师操作的急退键，确保使用安全。</w:t>
      </w:r>
    </w:p>
    <w:p>
      <w:pPr>
        <w:keepNext w:val="0"/>
        <w:keepLines w:val="0"/>
        <w:pageBreakBefore w:val="0"/>
        <w:widowControl w:val="0"/>
        <w:numPr>
          <w:ilvl w:val="0"/>
          <w:numId w:val="0"/>
        </w:numPr>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9</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牵引床脚轮具有制动功能，保障患者安全。</w:t>
      </w:r>
    </w:p>
    <w:p>
      <w:pPr>
        <w:keepNext w:val="0"/>
        <w:keepLines w:val="0"/>
        <w:pageBreakBefore w:val="0"/>
        <w:widowControl w:val="0"/>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13.</w:t>
      </w:r>
      <w:r>
        <w:rPr>
          <w:rFonts w:hint="eastAsia" w:ascii="宋体" w:hAnsi="宋体" w:eastAsia="宋体" w:cs="宋体"/>
          <w:color w:val="auto"/>
          <w:kern w:val="2"/>
          <w:sz w:val="24"/>
          <w:szCs w:val="24"/>
          <w:lang w:val="en-US" w:eastAsia="zh-CN" w:bidi="ar-SA"/>
        </w:rPr>
        <w:t>主要配件及配套设施：</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牵引床主机       1台</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使用说明书       1本</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保修卡           1本</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合格证           1张</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保险管           2只</w:t>
      </w:r>
    </w:p>
    <w:p>
      <w:pPr>
        <w:keepNext w:val="0"/>
        <w:keepLines w:val="0"/>
        <w:pageBreakBefore w:val="0"/>
        <w:widowControl w:val="0"/>
        <w:numPr>
          <w:ilvl w:val="0"/>
          <w:numId w:val="0"/>
        </w:numPr>
        <w:tabs>
          <w:tab w:val="left" w:pos="840"/>
        </w:tabs>
        <w:kinsoku/>
        <w:wordWrap/>
        <w:topLinePunct w:val="0"/>
        <w:autoSpaceDE/>
        <w:autoSpaceDN/>
        <w:bidi w:val="0"/>
        <w:snapToGrid/>
        <w:spacing w:line="36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电源线           1根</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6"/>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ind w:left="0" w:leftChars="0" w:firstLine="0" w:firstLineChars="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141C40"/>
    <w:rsid w:val="069E4015"/>
    <w:rsid w:val="082774BE"/>
    <w:rsid w:val="09124A1D"/>
    <w:rsid w:val="0A002AA2"/>
    <w:rsid w:val="0C6738C3"/>
    <w:rsid w:val="0C72629B"/>
    <w:rsid w:val="0D6D5659"/>
    <w:rsid w:val="0EF96A7C"/>
    <w:rsid w:val="0F1C1021"/>
    <w:rsid w:val="108E0E58"/>
    <w:rsid w:val="11082369"/>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9B62CA"/>
    <w:rsid w:val="50E32F3E"/>
    <w:rsid w:val="51642E66"/>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A42611"/>
    <w:rsid w:val="73BE5F83"/>
    <w:rsid w:val="750E512E"/>
    <w:rsid w:val="75AC5B7C"/>
    <w:rsid w:val="75F4747B"/>
    <w:rsid w:val="76427C85"/>
    <w:rsid w:val="791436BF"/>
    <w:rsid w:val="7A3410D9"/>
    <w:rsid w:val="7AA11235"/>
    <w:rsid w:val="7CB25553"/>
    <w:rsid w:val="7D481CB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2"/>
    <w:next w:val="4"/>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20641</Words>
  <Characters>21540</Characters>
  <Lines>0</Lines>
  <Paragraphs>0</Paragraphs>
  <TotalTime>2</TotalTime>
  <ScaleCrop>false</ScaleCrop>
  <LinksUpToDate>false</LinksUpToDate>
  <CharactersWithSpaces>22706</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2024-03-29T00:41:43Z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CF7D118F894A475181483CAA4CF2D6A0_13</vt:lpwstr>
  </property>
</Properties>
</file>