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843627"/>
      <w:bookmarkEnd w:id="0"/>
      <w:bookmarkStart w:id="1" w:name="_Hlt101233737"/>
      <w:bookmarkEnd w:id="1"/>
    </w:p>
    <w:p>
      <w:pPr>
        <w:jc w:val="center"/>
        <w:rPr>
          <w:rFonts w:hint="eastAsia" w:ascii="宋体"/>
          <w:b/>
          <w:sz w:val="44"/>
          <w:szCs w:val="44"/>
          <w:lang w:eastAsia="zh-CN"/>
        </w:rPr>
      </w:pPr>
    </w:p>
    <w:p>
      <w:pPr>
        <w:jc w:val="center"/>
        <w:rPr>
          <w:rFonts w:hint="eastAsia" w:ascii="宋体"/>
          <w:b/>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电针治疗仪等设备采购项目</w:t>
      </w:r>
    </w:p>
    <w:p>
      <w:pPr>
        <w:pStyle w:val="6"/>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26</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3</w:t>
      </w:r>
      <w:r>
        <w:rPr>
          <w:b/>
          <w:bCs/>
          <w:sz w:val="32"/>
          <w:szCs w:val="32"/>
          <w:lang w:val="zh-CN"/>
        </w:rPr>
        <w:t>月</w:t>
      </w:r>
    </w:p>
    <w:p>
      <w:pPr>
        <w:pStyle w:val="7"/>
        <w:ind w:firstLine="210"/>
        <w:rPr>
          <w:rFonts w:hint="eastAsia"/>
        </w:rPr>
      </w:pPr>
      <w:r>
        <w:rPr>
          <w:rFonts w:hint="eastAsia" w:ascii="宋体" w:eastAsia="宋体"/>
          <w:bCs w:val="0"/>
          <w:sz w:val="36"/>
        </w:rPr>
        <w:br w:type="page"/>
      </w:r>
      <w:bookmarkStart w:id="2" w:name="_Toc30906"/>
      <w:bookmarkStart w:id="3" w:name="_Toc2769"/>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w:t>
      </w:r>
      <w:r>
        <w:rPr>
          <w:rFonts w:hint="eastAsia" w:ascii="宋体" w:hAnsi="宋体" w:cs="Times New Roman"/>
          <w:color w:val="auto"/>
          <w:sz w:val="24"/>
          <w:highlight w:val="none"/>
          <w:u w:val="single"/>
          <w:lang w:val="en-US" w:eastAsia="zh-CN"/>
        </w:rPr>
        <w:t>6</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电针治疗仪等设备</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10.7</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9.35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rPr>
        <w:t>符合《医疗器械经营监督管理办法》要求，经营或生产范围与投标产品类别一致。</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26日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107</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935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履约保证金（实质性要求）</w:t>
            </w:r>
          </w:p>
        </w:tc>
        <w:tc>
          <w:tcPr>
            <w:tcW w:w="5184" w:type="dxa"/>
          </w:tcPr>
          <w:p>
            <w:pPr>
              <w:pStyle w:val="29"/>
            </w:pPr>
            <w:r>
              <w:t>本项目不收取</w:t>
            </w:r>
            <w:r>
              <w:rPr>
                <w:rFonts w:hint="eastAsia"/>
                <w:lang w:eastAsia="zh-CN"/>
              </w:rPr>
              <w:t>履约</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15215"/>
      <w:bookmarkStart w:id="7" w:name="_Toc13038"/>
      <w:bookmarkStart w:id="8" w:name="_Toc17067"/>
      <w:bookmarkStart w:id="9" w:name="_Toc24295"/>
      <w:bookmarkStart w:id="10" w:name="_Toc31240"/>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w:t>
      </w:r>
      <w:r>
        <w:rPr>
          <w:rFonts w:hint="eastAsia"/>
          <w:b/>
          <w:bCs/>
          <w:color w:val="FF0000"/>
          <w:sz w:val="24"/>
        </w:rPr>
        <w:t>核心产品</w:t>
      </w:r>
      <w:r>
        <w:rPr>
          <w:rFonts w:hint="eastAsia"/>
          <w:b/>
          <w:bCs/>
          <w:color w:val="FF0000"/>
          <w:sz w:val="24"/>
          <w:lang w:eastAsia="zh-CN"/>
        </w:rPr>
        <w:t>：多功能牵引系统。</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bookmarkStart w:id="34" w:name="_GoBack"/>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bookmarkEnd w:id="34"/>
      <w:r>
        <w:rPr>
          <w:rFonts w:hint="eastAsia" w:ascii="宋体" w:hAnsi="宋体" w:eastAsia="宋体" w:cs="Times New Roman"/>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183582231"/>
      <w:bookmarkStart w:id="19" w:name="_Toc217446056"/>
      <w:bookmarkStart w:id="20" w:name="_Toc77400782"/>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电针治疗仪等设备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01"/>
        <w:gridCol w:w="984"/>
        <w:gridCol w:w="1104"/>
        <w:gridCol w:w="1716"/>
        <w:gridCol w:w="1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4" w:hRule="atLeast"/>
          <w:jc w:val="center"/>
        </w:trPr>
        <w:tc>
          <w:tcPr>
            <w:tcW w:w="831" w:type="dxa"/>
            <w:vAlign w:val="center"/>
          </w:tcPr>
          <w:p>
            <w:pPr>
              <w:pStyle w:val="29"/>
              <w:jc w:val="center"/>
            </w:pPr>
            <w:r>
              <w:t>序号</w:t>
            </w:r>
          </w:p>
        </w:tc>
        <w:tc>
          <w:tcPr>
            <w:tcW w:w="2001" w:type="dxa"/>
            <w:vAlign w:val="center"/>
          </w:tcPr>
          <w:p>
            <w:pPr>
              <w:pStyle w:val="29"/>
              <w:jc w:val="center"/>
            </w:pPr>
            <w:r>
              <w:t>标的名称</w:t>
            </w:r>
          </w:p>
        </w:tc>
        <w:tc>
          <w:tcPr>
            <w:tcW w:w="984" w:type="dxa"/>
            <w:vAlign w:val="center"/>
          </w:tcPr>
          <w:p>
            <w:pPr>
              <w:pStyle w:val="29"/>
              <w:jc w:val="center"/>
            </w:pPr>
            <w:r>
              <w:t>数量</w:t>
            </w:r>
          </w:p>
        </w:tc>
        <w:tc>
          <w:tcPr>
            <w:tcW w:w="1104" w:type="dxa"/>
            <w:vAlign w:val="center"/>
          </w:tcPr>
          <w:p>
            <w:pPr>
              <w:pStyle w:val="29"/>
              <w:jc w:val="center"/>
            </w:pPr>
            <w:r>
              <w:t>计量单位</w:t>
            </w:r>
          </w:p>
        </w:tc>
        <w:tc>
          <w:tcPr>
            <w:tcW w:w="1716" w:type="dxa"/>
            <w:vAlign w:val="center"/>
          </w:tcPr>
          <w:p>
            <w:pPr>
              <w:pStyle w:val="29"/>
              <w:jc w:val="center"/>
            </w:pPr>
            <w:r>
              <w:t>是否核心产品</w:t>
            </w:r>
          </w:p>
        </w:tc>
        <w:tc>
          <w:tcPr>
            <w:tcW w:w="1871" w:type="dxa"/>
            <w:vAlign w:val="center"/>
          </w:tcPr>
          <w:p>
            <w:pPr>
              <w:pStyle w:val="29"/>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pPr>
              <w:pStyle w:val="29"/>
              <w:jc w:val="center"/>
            </w:pPr>
            <w:r>
              <w:t>1</w:t>
            </w:r>
          </w:p>
        </w:tc>
        <w:tc>
          <w:tcPr>
            <w:tcW w:w="2001" w:type="dxa"/>
            <w:vAlign w:val="center"/>
          </w:tcPr>
          <w:p>
            <w:pPr>
              <w:pStyle w:val="29"/>
              <w:jc w:val="center"/>
              <w:rPr>
                <w:sz w:val="20"/>
                <w:szCs w:val="20"/>
              </w:rPr>
            </w:pPr>
            <w:r>
              <w:rPr>
                <w:rFonts w:hint="eastAsia"/>
                <w:sz w:val="20"/>
                <w:szCs w:val="20"/>
                <w:lang w:eastAsia="zh-CN"/>
              </w:rPr>
              <w:t>电针治疗仪</w:t>
            </w:r>
          </w:p>
        </w:tc>
        <w:tc>
          <w:tcPr>
            <w:tcW w:w="984" w:type="dxa"/>
            <w:vAlign w:val="center"/>
          </w:tcPr>
          <w:p>
            <w:pPr>
              <w:pStyle w:val="29"/>
              <w:jc w:val="center"/>
            </w:pPr>
            <w:r>
              <w:rPr>
                <w:rFonts w:hint="eastAsia"/>
                <w:lang w:val="en-US" w:eastAsia="zh-CN"/>
              </w:rPr>
              <w:t>10</w:t>
            </w:r>
            <w:r>
              <w:t>.00</w:t>
            </w:r>
          </w:p>
        </w:tc>
        <w:tc>
          <w:tcPr>
            <w:tcW w:w="1104" w:type="dxa"/>
            <w:vAlign w:val="center"/>
          </w:tcPr>
          <w:p>
            <w:pPr>
              <w:pStyle w:val="29"/>
              <w:jc w:val="center"/>
              <w:rPr>
                <w:rFonts w:hint="eastAsia" w:eastAsiaTheme="minorEastAsia"/>
                <w:lang w:eastAsia="zh-CN"/>
              </w:rPr>
            </w:pPr>
            <w:r>
              <w:rPr>
                <w:rFonts w:hint="eastAsia"/>
                <w:lang w:eastAsia="zh-CN"/>
              </w:rPr>
              <w:t>台</w:t>
            </w:r>
          </w:p>
        </w:tc>
        <w:tc>
          <w:tcPr>
            <w:tcW w:w="1716" w:type="dxa"/>
            <w:vAlign w:val="center"/>
          </w:tcPr>
          <w:p>
            <w:pPr>
              <w:pStyle w:val="29"/>
              <w:jc w:val="center"/>
              <w:rPr>
                <w:rFonts w:hint="eastAsia" w:eastAsiaTheme="minorEastAsia"/>
                <w:lang w:eastAsia="zh-CN"/>
              </w:rPr>
            </w:pPr>
            <w:r>
              <w:rPr>
                <w:rFonts w:hint="eastAsia"/>
                <w:lang w:eastAsia="zh-CN"/>
              </w:rPr>
              <w:t>否</w:t>
            </w:r>
          </w:p>
        </w:tc>
        <w:tc>
          <w:tcPr>
            <w:tcW w:w="1871" w:type="dxa"/>
            <w:vAlign w:val="center"/>
          </w:tcPr>
          <w:p>
            <w:pPr>
              <w:pStyle w:val="29"/>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pPr>
              <w:pStyle w:val="29"/>
              <w:jc w:val="center"/>
              <w:rPr>
                <w:rFonts w:hint="eastAsia" w:eastAsiaTheme="minorEastAsia"/>
                <w:lang w:val="en-US" w:eastAsia="zh-CN"/>
              </w:rPr>
            </w:pPr>
            <w:r>
              <w:rPr>
                <w:rFonts w:hint="eastAsia"/>
                <w:lang w:val="en-US" w:eastAsia="zh-CN"/>
              </w:rPr>
              <w:t>2</w:t>
            </w:r>
          </w:p>
        </w:tc>
        <w:tc>
          <w:tcPr>
            <w:tcW w:w="2001" w:type="dxa"/>
            <w:vAlign w:val="center"/>
          </w:tcPr>
          <w:p>
            <w:pPr>
              <w:pStyle w:val="29"/>
              <w:jc w:val="center"/>
              <w:rPr>
                <w:rFonts w:hint="eastAsia"/>
                <w:sz w:val="20"/>
                <w:szCs w:val="20"/>
                <w:lang w:eastAsia="zh-CN"/>
              </w:rPr>
            </w:pPr>
            <w:r>
              <w:rPr>
                <w:rFonts w:hint="eastAsia"/>
                <w:sz w:val="20"/>
                <w:szCs w:val="20"/>
                <w:lang w:eastAsia="zh-CN"/>
              </w:rPr>
              <w:t>多功能牵引系统</w:t>
            </w:r>
          </w:p>
        </w:tc>
        <w:tc>
          <w:tcPr>
            <w:tcW w:w="984" w:type="dxa"/>
            <w:vAlign w:val="center"/>
          </w:tcPr>
          <w:p>
            <w:pPr>
              <w:pStyle w:val="29"/>
              <w:jc w:val="center"/>
              <w:rPr>
                <w:rFonts w:hint="default"/>
                <w:lang w:val="en-US" w:eastAsia="zh-CN"/>
              </w:rPr>
            </w:pPr>
            <w:r>
              <w:rPr>
                <w:rFonts w:hint="eastAsia"/>
                <w:lang w:val="en-US" w:eastAsia="zh-CN"/>
              </w:rPr>
              <w:t>4.00</w:t>
            </w:r>
          </w:p>
        </w:tc>
        <w:tc>
          <w:tcPr>
            <w:tcW w:w="1104" w:type="dxa"/>
            <w:vAlign w:val="center"/>
          </w:tcPr>
          <w:p>
            <w:pPr>
              <w:pStyle w:val="29"/>
              <w:jc w:val="center"/>
              <w:rPr>
                <w:rFonts w:hint="eastAsia"/>
                <w:lang w:eastAsia="zh-CN"/>
              </w:rPr>
            </w:pPr>
            <w:r>
              <w:rPr>
                <w:rFonts w:hint="eastAsia"/>
                <w:lang w:eastAsia="zh-CN"/>
              </w:rPr>
              <w:t>台</w:t>
            </w:r>
          </w:p>
        </w:tc>
        <w:tc>
          <w:tcPr>
            <w:tcW w:w="1716" w:type="dxa"/>
            <w:vAlign w:val="center"/>
          </w:tcPr>
          <w:p>
            <w:pPr>
              <w:pStyle w:val="29"/>
              <w:jc w:val="center"/>
              <w:rPr>
                <w:rFonts w:hint="eastAsia" w:eastAsiaTheme="minorEastAsia"/>
                <w:lang w:eastAsia="zh-CN"/>
              </w:rPr>
            </w:pPr>
            <w:r>
              <w:rPr>
                <w:rFonts w:hint="eastAsia"/>
                <w:lang w:eastAsia="zh-CN"/>
              </w:rPr>
              <w:t>是</w:t>
            </w:r>
          </w:p>
        </w:tc>
        <w:tc>
          <w:tcPr>
            <w:tcW w:w="1871" w:type="dxa"/>
            <w:vAlign w:val="center"/>
          </w:tcPr>
          <w:p>
            <w:pPr>
              <w:pStyle w:val="29"/>
              <w:jc w:val="center"/>
              <w:rPr>
                <w:rFonts w:hint="eastAsia" w:eastAsiaTheme="minorEastAsia"/>
                <w:lang w:eastAsia="zh-CN"/>
              </w:rPr>
            </w:pPr>
            <w:r>
              <w:rPr>
                <w:rFonts w:hint="eastAsia"/>
                <w:lang w:eastAsia="zh-CN"/>
              </w:rPr>
              <w:t>否</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pStyle w:val="5"/>
        <w:pageBreakBefore w:val="0"/>
        <w:kinsoku/>
        <w:wordWrap/>
        <w:overflowPunct w:val="0"/>
        <w:topLinePunct w:val="0"/>
        <w:autoSpaceDE/>
        <w:autoSpaceDN/>
        <w:bidi w:val="0"/>
        <w:adjustRightInd w:val="0"/>
        <w:snapToGrid/>
        <w:spacing w:line="580" w:lineRule="exact"/>
        <w:ind w:firstLine="562" w:firstLineChars="200"/>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电针治疗仪</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组成:由主机、皮肤电极、皮肤电极导连线或电极针导连线、穴位探测棒和电源适配器组成。本机有八路输出。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性能参数:</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脉冲重复频率1Hz±0.5 Hz~100Hz±10Hz连续可调:</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脉冲宽度:0.5ms±0.15MS;</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连续波在250Q负载上输出脉冲幅度10V±20%;</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输出四种波形:连续波、疏密波、间歇波、组合波(前三种波形自动循环输出):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250Q负载上最大输出电流有效值≤10mA;</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具有定时功能，定时范围(0~60)min±10%。</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功能特点:</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输出波形可选择。</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探测穴位。</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针灸治疗、脉冲理疗、代替人工按摩。</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输出开路、短路保护功能。</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定时治疗音乐提示。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开机输出安全保护功能。</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内置 9V电池(1.5VX6)、外接220V交流稳压电源。</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562" w:firstLineChars="200"/>
        <w:textAlignment w:val="auto"/>
        <w:rPr>
          <w:rFonts w:hint="eastAsia" w:ascii="仿宋_GB2312" w:hAnsi="仿宋_GB2312" w:eastAsia="仿宋_GB2312" w:cs="仿宋_GB2312"/>
          <w:b/>
          <w:bCs/>
          <w:i w:val="0"/>
          <w:iCs w:val="0"/>
          <w:color w:val="000000"/>
          <w:kern w:val="0"/>
          <w:sz w:val="28"/>
          <w:szCs w:val="28"/>
          <w:u w:val="none"/>
          <w:lang w:val="en-US" w:eastAsia="zh-CN" w:bidi="ar"/>
        </w:rPr>
      </w:pP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562"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多功能牵引系统</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 xml:space="preserve">电源：AC 220V/50Hz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输入功率：2000VA</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腰椎牵引力：0-900N任意可调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颈椎牵引力：0-300N任意可调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牵引总时间：0-60min可调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 xml:space="preserve">牵引时间：0-9min任意可调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 xml:space="preserve">间歇时间：0-90s任意可调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腰椎牵引行程：0-200mm</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颈椎牵引行程：0-300mm</w:t>
      </w:r>
    </w:p>
    <w:p>
      <w:pPr>
        <w:keepNext w:val="0"/>
        <w:keepLines w:val="0"/>
        <w:pageBreakBefore w:val="0"/>
        <w:widowControl w:val="0"/>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10.牵引床做成角运动时，上床面上下摆动，当上床面向上摆动时，上床面与水平面夹角为20°±2°； 当上床面向下摆动时，上床面与水平面夹角为10°±2°； </w:t>
      </w:r>
    </w:p>
    <w:p>
      <w:pPr>
        <w:keepNext w:val="0"/>
        <w:keepLines w:val="0"/>
        <w:pageBreakBefore w:val="0"/>
        <w:widowControl w:val="0"/>
        <w:kinsoku/>
        <w:wordWrap/>
        <w:topLinePunct w:val="0"/>
        <w:autoSpaceDE/>
        <w:autoSpaceDN/>
        <w:bidi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11.牵引床做旋转运动时，上床面左右旋转，上床面与水平面夹角为25°±2°；</w:t>
      </w:r>
    </w:p>
    <w:p>
      <w:pPr>
        <w:keepNext w:val="0"/>
        <w:keepLines w:val="0"/>
        <w:pageBreakBefore w:val="0"/>
        <w:widowControl w:val="0"/>
        <w:kinsoku/>
        <w:wordWrap/>
        <w:topLinePunct w:val="0"/>
        <w:autoSpaceDE/>
        <w:autoSpaceDN/>
        <w:bidi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性能描述</w:t>
      </w:r>
      <w:r>
        <w:rPr>
          <w:rFonts w:hint="eastAsia" w:ascii="宋体" w:hAnsi="宋体" w:cs="宋体"/>
          <w:color w:val="auto"/>
          <w:kern w:val="2"/>
          <w:sz w:val="24"/>
          <w:szCs w:val="24"/>
          <w:lang w:val="en-US" w:eastAsia="zh-CN" w:bidi="ar-SA"/>
        </w:rPr>
        <w:t>：</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LED数码管或LCD液晶屏显示牵引力、牵引时间，间歇时间等治疗参数，直观、清晰。</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采用低噪音直线电机，使用寿命长，性能更稳定。</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微电脑控制牵引力、牵引时间。牵引力的调节系统为闭环系统，牵引力能自动补偿。</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系统提供八种牵引模式,既可持续牵引,也可间歇牵引。</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具有纵向牵引、上下成角牵引、左右旋转牵引；既可单一牵引，也可三维组合牵引。</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设备可供一名患者进行颈椎牵引治疗的同时，另一名患者进行腰椎牵引治疗，缩短了病患的等候时间，提高了医院的经济效益。</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系统可储存二十个病历档案，每个病例治疗参数可随时读取，方便临床工作的开展与研究。</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设备既有供患者操作的手持式急退开关，又有供医师操作的急退键，确保使用安全。</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牵引床脚轮具有制动功能，保障患者安全。</w:t>
      </w:r>
    </w:p>
    <w:p>
      <w:pPr>
        <w:keepNext w:val="0"/>
        <w:keepLines w:val="0"/>
        <w:pageBreakBefore w:val="0"/>
        <w:widowControl w:val="0"/>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主要配件及配套设施：</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牵引床主机       1台</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使用说明书       1本</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保修卡           1本</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合格证           1张</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保险管           2只</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电源线           1根</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ind w:left="0" w:leftChars="0" w:firstLine="0" w:firstLineChars="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141C40"/>
    <w:rsid w:val="069E4015"/>
    <w:rsid w:val="082774BE"/>
    <w:rsid w:val="09124A1D"/>
    <w:rsid w:val="0A002AA2"/>
    <w:rsid w:val="0C6738C3"/>
    <w:rsid w:val="0C72629B"/>
    <w:rsid w:val="0D6D5659"/>
    <w:rsid w:val="0EF96A7C"/>
    <w:rsid w:val="0F1C1021"/>
    <w:rsid w:val="108E0E58"/>
    <w:rsid w:val="11082369"/>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9B62CA"/>
    <w:rsid w:val="50E32F3E"/>
    <w:rsid w:val="51642E66"/>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2"/>
    <w:next w:val="4"/>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0</TotalTime>
  <ScaleCrop>false</ScaleCrop>
  <LinksUpToDate>false</LinksUpToDate>
  <CharactersWithSpaces>22706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2024-03-26T03:44:29Z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CF7D118F894A475181483CAA4CF2D6A0_13</vt:lpwstr>
  </property>
</Properties>
</file>