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  <w:bookmarkStart w:id="0" w:name="_Toc2129"/>
      <w:bookmarkStart w:id="1" w:name="_Toc22325"/>
      <w:bookmarkStart w:id="2" w:name="_Toc217446057"/>
      <w:bookmarkStart w:id="3" w:name="_Toc183682369"/>
      <w:bookmarkStart w:id="4" w:name="_Toc183582232"/>
      <w:r>
        <w:rPr>
          <w:rFonts w:hint="eastAsia" w:ascii="黑体" w:hAnsi="宋体" w:eastAsia="黑体"/>
          <w:b/>
          <w:color w:val="FF0000"/>
          <w:sz w:val="32"/>
          <w:szCs w:val="32"/>
        </w:rPr>
        <w:t>第四章  采购项目技术、服务、政府采购</w:t>
      </w:r>
      <w:r>
        <w:rPr>
          <w:rFonts w:hint="eastAsia" w:ascii="黑体" w:hAnsi="宋体" w:eastAsia="黑体"/>
          <w:b/>
          <w:color w:val="FF0000"/>
          <w:sz w:val="32"/>
          <w:szCs w:val="32"/>
          <w:lang w:eastAsia="zh-CN"/>
        </w:rPr>
        <w:t>供货协议</w:t>
      </w:r>
      <w:r>
        <w:rPr>
          <w:rFonts w:hint="eastAsia" w:ascii="黑体" w:hAnsi="宋体" w:eastAsia="黑体"/>
          <w:b/>
          <w:color w:val="FF0000"/>
          <w:sz w:val="32"/>
          <w:szCs w:val="32"/>
        </w:rPr>
        <w:t>内容条款及其他商务要求</w:t>
      </w:r>
      <w:bookmarkEnd w:id="0"/>
      <w:bookmarkEnd w:id="1"/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项目概述</w:t>
      </w:r>
    </w:p>
    <w:p>
      <w:pPr>
        <w:pStyle w:val="4"/>
        <w:ind w:left="0" w:leftChars="0" w:firstLine="480" w:firstLineChars="200"/>
        <w:rPr>
          <w:rFonts w:hint="eastAsia" w:cs="宋体"/>
          <w:b w:val="0"/>
          <w:bCs w:val="0"/>
          <w:lang w:val="en-US" w:eastAsia="zh-CN"/>
        </w:rPr>
      </w:pPr>
      <w:bookmarkStart w:id="5" w:name="_Toc31907"/>
      <w:bookmarkStart w:id="6" w:name="_Toc2323"/>
      <w:r>
        <w:rPr>
          <w:rFonts w:hint="eastAsia" w:cs="宋体"/>
          <w:b w:val="0"/>
          <w:bCs w:val="0"/>
          <w:lang w:val="en-US" w:eastAsia="zh-CN"/>
        </w:rPr>
        <w:t>采购理由：临床开展工作需要</w:t>
      </w:r>
    </w:p>
    <w:p>
      <w:pPr>
        <w:pStyle w:val="4"/>
        <w:numPr>
          <w:ilvl w:val="0"/>
          <w:numId w:val="1"/>
        </w:numPr>
        <w:ind w:leftChars="0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项目清单</w:t>
      </w:r>
    </w:p>
    <w:tbl>
      <w:tblPr>
        <w:tblStyle w:val="7"/>
        <w:tblpPr w:leftFromText="180" w:rightFromText="180" w:vertAnchor="text" w:horzAnchor="page" w:tblpX="1525" w:tblpY="265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00"/>
        <w:gridCol w:w="2580"/>
        <w:gridCol w:w="585"/>
        <w:gridCol w:w="148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品目序号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货物</w:t>
            </w:r>
            <w:r>
              <w:rPr>
                <w:rFonts w:hint="eastAsia" w:ascii="宋体"/>
                <w:color w:val="auto"/>
                <w:sz w:val="24"/>
              </w:rPr>
              <w:t>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规格型号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</w:rPr>
              <w:t>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最高限价（单价：元）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BAIN-A.V.F-006S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P3-1 A粉、P3-1 B粉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SXJ-Y-B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、SXJ-Y-A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20%5L/桶、50%5L/桶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14.5F*19cm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BAIN-BL-004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内瘘、导管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SM180H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、b-16p、b-14h、b-16hf、b-14p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TX-FJ-4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FX80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DC-11.5F 双腔11.5F-16cm/W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 双腔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16cm/W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outlineLvl w:val="1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bookmarkStart w:id="7" w:name="_GoBack"/>
      <w:bookmarkEnd w:id="7"/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outlineLvl w:val="1"/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</w:pPr>
    </w:p>
    <w:p>
      <w:pPr>
        <w:pStyle w:val="11"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三、项目要求</w:t>
      </w:r>
    </w:p>
    <w:p>
      <w:pPr>
        <w:pStyle w:val="11"/>
        <w:spacing w:line="360" w:lineRule="auto"/>
        <w:outlineLvl w:val="1"/>
        <w:rPr>
          <w:rFonts w:hint="eastAsia" w:ascii="宋体" w:hAnsi="宋体"/>
          <w:b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/>
          <w:b/>
          <w:lang w:eastAsia="zh-CN"/>
        </w:rPr>
        <w:t>技术</w:t>
      </w:r>
      <w:r>
        <w:rPr>
          <w:rFonts w:hint="eastAsia" w:ascii="宋体" w:hAnsi="宋体"/>
          <w:b/>
        </w:rPr>
        <w:t>要求：</w:t>
      </w:r>
    </w:p>
    <w:tbl>
      <w:tblPr>
        <w:tblStyle w:val="8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29"/>
        <w:gridCol w:w="530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品目序号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30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技术要求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环氧乙烷灭菌，一次性使用。用于血液透析治疗中进行动静脉穿刺。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透析干粉A粉组成成分氯化钠、氯化钾、氯化钙、氯化镁、枸橼酸。用于肾功能衰竭，尿毒症，药物中毒所引起的尿闭及电解质紊乱。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为一次性使用无菌医疗器械,环氧乙烷灭菌。作为输送血液、药液的管路通道。临床中配合血透机、血滤机等设备,用于血液净化、透析、过滤、补液、传送药液的一次性使用无菌器械。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由A浓缩液和B浓缩液组成。A浓缩液由氯化钠、氯化钾、氯化钙、氯化镁、冰醋酸的水溶液组成，B浓缩液由碳酸氢钠或碳酸氢钠和氯化钠的水溶液组成。产品与血液透析机配合使用，用于急、慢性肾功能衰竭患者及药物中毒患者进行血液透析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用于血液透析机等医疗器械的清洗和消毒。可无医保耗材代码。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由导管、扩张器、导丝、穿刺针、肝素帽和医用透明贴膜等配件。适用于血液透析、血液灌流或血浆分离透析治疗时，通过颈静脉、锁骨下动脉（或静脉）或股静脉建立临时或短期或长期的血管通路。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由动脉血路、静脉血路，废液收集袋组成。环氧乙烷气体灭菌，一次性使用产品。用于临床血液净化时作为血液管道使用。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由方形托盘、白色覆膜无纺布、检查手套、垃圾袋、一次性使用检查手套（橡胶）、一次性使用输液贴、消毒棉签、医用脱脂棉卷组成。无菌。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膜（空心纤维）、外壳、血盖、封口胶、密封圈、护帽组成。膜（空心纤维）材料为聚醚砜（PES），外壳和血盖材料为聚碳酸酯（PC），封口胶材料为聚氨酯胶（PU），密封圈材料为硅胶，护帽材料为聚乙烯（PE）。γ射线灭菌，一次性使用。适用于急性或慢性肾功能衰竭患者的血液透析治疗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透析器接口、导血管、气体捕获器、过滤网、肝素管、泵管、泵管接头、导管夹、采样口、测压器、内圆锥接头、外圆锥接头、锁口接头、冲洗接头、保护套、三通接头、四通接头、透析器侧口接头、预冲针、预冲器、瓶塞穿刺器、贮液袋、螺旋式外圆锥接头、补液转换接口、滴斗、变径接头、传感器保护器、管路、管路接头、连接血管通路的接头、连接血液透析器的接头、连接血液透析滤过器或血液滤过器的接头、连接辅助部件的接头、二通接头、(鲁尔)圆锥接头、滴管、流量调节器、废液袋、接头护帽、动脉管、静脉管、置换管、输液加热管、吸附连接管等组成。供血液净化时作为血液通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由纤维膜，外壳，封装材料，顶盖，密封环，血液保护帽和透析液保护帽组成。适用于常规血液透析或血液透析滤过。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血液透析导管、穿刺针、导丝和扩张器组成。血液透析导管包选用的器械和辅料包括一次性使用无菌注射器、一次性使用无菌注射针、手术刀、肝素帽、消毒刷、中单、小单、孔巾、脱脂棉纱布、非吸收性外科缝线（带针）。用于血液透析、采血、测压和液体输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2"/>
      <w:bookmarkEnd w:id="3"/>
      <w:bookmarkEnd w:id="4"/>
      <w:bookmarkEnd w:id="5"/>
      <w:bookmarkEnd w:id="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EDA76"/>
    <w:multiLevelType w:val="singleLevel"/>
    <w:tmpl w:val="33AEDA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YzIxYjY0MWUxMmZhMzIxY2I3ODllZjg5NWYxMjQifQ=="/>
  </w:docVars>
  <w:rsids>
    <w:rsidRoot w:val="7F63071E"/>
    <w:rsid w:val="2BF367A4"/>
    <w:rsid w:val="7F6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Indent"/>
    <w:basedOn w:val="1"/>
    <w:qFormat/>
    <w:uiPriority w:val="0"/>
    <w:pPr>
      <w:spacing w:line="400" w:lineRule="exact"/>
      <w:ind w:firstLine="480" w:firstLineChars="200"/>
      <w:jc w:val="left"/>
    </w:pPr>
    <w:rPr>
      <w:rFonts w:ascii="宋体" w:hAnsi="宋体"/>
      <w:color w:val="000000"/>
      <w:sz w:val="24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2023-10-07T07:15:00Z</dcterms:created>
  <dc:creator>ls-LJJ</dc:creator>
  <cp:lastModifiedBy>ls-LJJ</cp:lastModifiedBy>
  <dcterms:modified xsi:type="dcterms:W3CDTF">2023-10-07T07:22:21Z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9FCC3FC0B0854E499F49AB5A2079E55C_11</vt:lpwstr>
  </property>
</Properties>
</file>