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bookmarkStart w:id="0" w:name="_Toc21827"/>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44"/>
          <w:szCs w:val="44"/>
        </w:rPr>
      </w:pPr>
    </w:p>
    <w:p>
      <w:pPr>
        <w:pStyle w:val="12"/>
        <w:pageBreakBefore w:val="0"/>
        <w:numPr>
          <w:ilvl w:val="1"/>
          <w:numId w:val="0"/>
        </w:numPr>
        <w:kinsoku/>
        <w:overflowPunct/>
        <w:autoSpaceDE/>
        <w:autoSpaceDN/>
        <w:bidi w:val="0"/>
        <w:spacing w:line="440" w:lineRule="exact"/>
        <w:jc w:val="both"/>
        <w:textAlignment w:val="auto"/>
        <w:outlineLvl w:val="0"/>
        <w:rPr>
          <w:rFonts w:hint="eastAsia" w:ascii="仿宋" w:hAnsi="仿宋" w:eastAsia="仿宋"/>
          <w:sz w:val="36"/>
          <w:szCs w:val="36"/>
        </w:rPr>
      </w:pPr>
    </w:p>
    <w:p>
      <w:pPr>
        <w:pStyle w:val="12"/>
        <w:pageBreakBefore w:val="0"/>
        <w:numPr>
          <w:ilvl w:val="1"/>
          <w:numId w:val="0"/>
        </w:numPr>
        <w:kinsoku/>
        <w:overflowPunct/>
        <w:autoSpaceDE/>
        <w:autoSpaceDN/>
        <w:bidi w:val="0"/>
        <w:spacing w:line="440" w:lineRule="exact"/>
        <w:ind w:firstLine="2209" w:firstLineChars="500"/>
        <w:jc w:val="both"/>
        <w:textAlignment w:val="auto"/>
        <w:outlineLvl w:val="0"/>
        <w:rPr>
          <w:rFonts w:hint="eastAsia" w:ascii="仿宋" w:hAnsi="仿宋" w:eastAsia="仿宋"/>
          <w:sz w:val="36"/>
          <w:szCs w:val="36"/>
        </w:rPr>
      </w:pPr>
      <w:r>
        <w:rPr>
          <w:rFonts w:hint="eastAsia" w:ascii="仿宋" w:hAnsi="仿宋" w:eastAsia="仿宋"/>
          <w:sz w:val="44"/>
          <w:szCs w:val="44"/>
        </w:rPr>
        <w:t>互联网医院功能需求</w:t>
      </w:r>
      <w:bookmarkEnd w:id="0"/>
    </w:p>
    <w:p>
      <w:pPr>
        <w:pStyle w:val="12"/>
        <w:pageBreakBefore w:val="0"/>
        <w:numPr>
          <w:ilvl w:val="0"/>
          <w:numId w:val="0"/>
        </w:numPr>
        <w:kinsoku/>
        <w:overflowPunct/>
        <w:autoSpaceDE/>
        <w:autoSpaceDN/>
        <w:bidi w:val="0"/>
        <w:spacing w:line="440" w:lineRule="exact"/>
        <w:ind w:left="420" w:leftChars="200"/>
        <w:textAlignment w:val="auto"/>
        <w:outlineLvl w:val="9"/>
        <w:rPr>
          <w:rFonts w:hint="eastAsia" w:ascii="仿宋" w:hAnsi="仿宋" w:eastAsia="仿宋" w:cs="宋体"/>
          <w:sz w:val="32"/>
          <w:szCs w:val="32"/>
        </w:rPr>
        <w:sectPr>
          <w:pgSz w:w="11906" w:h="16838"/>
          <w:pgMar w:top="1440" w:right="1800" w:bottom="1440" w:left="1800" w:header="851" w:footer="992" w:gutter="0"/>
          <w:cols w:space="425" w:num="1"/>
          <w:docGrid w:type="lines" w:linePitch="312" w:charSpace="0"/>
        </w:sectPr>
      </w:pPr>
    </w:p>
    <w:p>
      <w:pPr>
        <w:pStyle w:val="12"/>
        <w:pageBreakBefore w:val="0"/>
        <w:numPr>
          <w:ilvl w:val="0"/>
          <w:numId w:val="0"/>
        </w:numPr>
        <w:kinsoku/>
        <w:overflowPunct/>
        <w:autoSpaceDE/>
        <w:autoSpaceDN/>
        <w:bidi w:val="0"/>
        <w:spacing w:line="440" w:lineRule="exact"/>
        <w:ind w:left="482" w:hanging="482" w:hangingChars="200"/>
        <w:textAlignment w:val="auto"/>
        <w:outlineLvl w:val="0"/>
        <w:rPr>
          <w:rFonts w:hint="eastAsia" w:ascii="仿宋" w:hAnsi="仿宋" w:eastAsia="仿宋" w:cs="宋体"/>
          <w:lang w:eastAsia="zh-CN"/>
        </w:rPr>
      </w:pPr>
      <w:r>
        <w:rPr>
          <w:rFonts w:hint="eastAsia" w:ascii="仿宋" w:hAnsi="仿宋" w:eastAsia="仿宋" w:cs="宋体"/>
          <w:lang w:eastAsia="zh-CN"/>
        </w:rPr>
        <w:t>一、互联网医院采用公众号方式建设，新增功能如下，当对接原有功能不满足时允许重建公众号且满足原有功能。</w:t>
      </w:r>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r>
        <w:rPr>
          <w:rFonts w:hint="eastAsia" w:ascii="仿宋" w:hAnsi="仿宋" w:eastAsia="仿宋" w:cs="宋体"/>
        </w:rPr>
        <w:t>【一】居民移动端应用</w:t>
      </w:r>
    </w:p>
    <w:p>
      <w:pPr>
        <w:pStyle w:val="12"/>
        <w:pageBreakBefore w:val="0"/>
        <w:numPr>
          <w:ilvl w:val="0"/>
          <w:numId w:val="0"/>
        </w:numPr>
        <w:kinsoku/>
        <w:overflowPunct/>
        <w:autoSpaceDE/>
        <w:autoSpaceDN/>
        <w:bidi w:val="0"/>
        <w:spacing w:line="440" w:lineRule="exact"/>
        <w:ind w:left="420" w:leftChars="200"/>
        <w:textAlignment w:val="auto"/>
        <w:outlineLvl w:val="0"/>
        <w:rPr>
          <w:rFonts w:hint="eastAsia" w:ascii="仿宋" w:hAnsi="仿宋" w:eastAsia="仿宋" w:cs="宋体"/>
        </w:rPr>
      </w:pPr>
      <w:bookmarkStart w:id="1" w:name="_Toc34294732"/>
      <w:bookmarkStart w:id="2" w:name="_Toc514005737"/>
      <w:bookmarkStart w:id="3" w:name="_Toc505764227"/>
      <w:r>
        <w:rPr>
          <w:rFonts w:hint="eastAsia" w:ascii="仿宋" w:hAnsi="仿宋" w:eastAsia="仿宋" w:cs="宋体"/>
        </w:rPr>
        <w:t>(1)诊前服务</w:t>
      </w:r>
      <w:bookmarkEnd w:id="1"/>
    </w:p>
    <w:p>
      <w:pPr>
        <w:pStyle w:val="12"/>
        <w:pageBreakBefore w:val="0"/>
        <w:numPr>
          <w:ilvl w:val="0"/>
          <w:numId w:val="0"/>
        </w:numPr>
        <w:kinsoku/>
        <w:overflowPunct/>
        <w:autoSpaceDE/>
        <w:autoSpaceDN/>
        <w:bidi w:val="0"/>
        <w:spacing w:line="440" w:lineRule="exact"/>
        <w:ind w:firstLine="482" w:firstLineChars="200"/>
        <w:textAlignment w:val="auto"/>
        <w:outlineLvl w:val="1"/>
        <w:rPr>
          <w:rFonts w:hint="eastAsia" w:ascii="仿宋" w:hAnsi="仿宋" w:eastAsia="仿宋" w:cs="宋体"/>
          <w:lang w:eastAsia="zh-CN"/>
        </w:rPr>
      </w:pPr>
      <w:r>
        <w:rPr>
          <w:rFonts w:hint="eastAsia" w:ascii="仿宋" w:hAnsi="仿宋" w:eastAsia="仿宋" w:cs="宋体"/>
        </w:rPr>
        <w:t>1.1</w:t>
      </w:r>
      <w:r>
        <w:rPr>
          <w:rFonts w:hint="eastAsia" w:ascii="仿宋" w:hAnsi="仿宋" w:eastAsia="仿宋" w:cs="宋体"/>
          <w:lang w:val="en-US" w:eastAsia="zh-CN"/>
        </w:rPr>
        <w:t xml:space="preserve"> </w:t>
      </w:r>
      <w:r>
        <w:rPr>
          <w:rFonts w:hint="eastAsia" w:ascii="仿宋" w:hAnsi="仿宋" w:eastAsia="仿宋" w:cs="宋体"/>
        </w:rPr>
        <w:t>医院介绍</w:t>
      </w:r>
      <w:r>
        <w:rPr>
          <w:rFonts w:hint="eastAsia" w:ascii="仿宋" w:hAnsi="仿宋" w:eastAsia="仿宋" w:cs="宋体"/>
          <w:lang w:eastAsia="zh-CN"/>
        </w:rPr>
        <w:t>及导航</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lang w:eastAsia="zh-CN"/>
        </w:rPr>
      </w:pPr>
      <w:r>
        <w:rPr>
          <w:rFonts w:hint="eastAsia" w:ascii="仿宋" w:hAnsi="仿宋" w:eastAsia="仿宋" w:cs="宋体"/>
          <w:szCs w:val="24"/>
        </w:rPr>
        <w:t>应支持用户通过手机对医院相关情况进行查询，包含医院介绍、交通指引、科室介绍、医生介绍、就医流程介绍等内容。</w:t>
      </w:r>
      <w:r>
        <w:rPr>
          <w:rFonts w:hint="eastAsia" w:ascii="仿宋" w:hAnsi="仿宋" w:eastAsia="仿宋" w:cs="宋体"/>
          <w:szCs w:val="24"/>
          <w:lang w:eastAsia="zh-CN"/>
        </w:rPr>
        <w:t>点击科室进行动态导航。</w:t>
      </w:r>
    </w:p>
    <w:p>
      <w:pPr>
        <w:pStyle w:val="13"/>
        <w:pageBreakBefore w:val="0"/>
        <w:kinsoku/>
        <w:overflowPunct/>
        <w:autoSpaceDE/>
        <w:autoSpaceDN/>
        <w:bidi w:val="0"/>
        <w:spacing w:line="440" w:lineRule="exact"/>
        <w:ind w:firstLine="480"/>
        <w:textAlignment w:val="auto"/>
        <w:outlineLvl w:val="1"/>
        <w:rPr>
          <w:rFonts w:hint="eastAsia" w:ascii="仿宋" w:hAnsi="仿宋" w:eastAsia="仿宋" w:cs="宋体"/>
          <w:b/>
          <w:bCs/>
          <w:szCs w:val="24"/>
        </w:rPr>
      </w:pPr>
      <w:r>
        <w:rPr>
          <w:rFonts w:hint="eastAsia" w:ascii="仿宋" w:hAnsi="仿宋" w:eastAsia="仿宋" w:cs="宋体"/>
          <w:b/>
          <w:bCs/>
          <w:szCs w:val="24"/>
        </w:rPr>
        <w:t>1.2</w:t>
      </w:r>
      <w:r>
        <w:rPr>
          <w:rFonts w:hint="eastAsia" w:ascii="仿宋" w:hAnsi="仿宋" w:eastAsia="仿宋" w:cs="宋体"/>
          <w:b/>
          <w:bCs/>
          <w:szCs w:val="24"/>
          <w:lang w:val="en-US" w:eastAsia="zh-CN"/>
        </w:rPr>
        <w:t xml:space="preserve"> </w:t>
      </w:r>
      <w:r>
        <w:rPr>
          <w:rFonts w:hint="eastAsia" w:ascii="仿宋" w:hAnsi="仿宋" w:eastAsia="仿宋" w:cs="宋体"/>
          <w:b/>
          <w:bCs/>
          <w:szCs w:val="24"/>
        </w:rPr>
        <w:t>智能导诊</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szCs w:val="24"/>
        </w:rPr>
        <w:t>系统应支持患者根据自己不适部位及相关症状进行选择，系统进行初步诊断并展现患者可能的患病概率，用户可以查看疾病详细说明和针对疾病推荐挂号科室，直接点击进行预约挂号。</w:t>
      </w:r>
    </w:p>
    <w:p>
      <w:pPr>
        <w:pStyle w:val="13"/>
        <w:pageBreakBefore w:val="0"/>
        <w:kinsoku/>
        <w:overflowPunct/>
        <w:autoSpaceDE/>
        <w:autoSpaceDN/>
        <w:bidi w:val="0"/>
        <w:spacing w:line="440" w:lineRule="exact"/>
        <w:ind w:firstLine="480"/>
        <w:textAlignment w:val="auto"/>
        <w:outlineLvl w:val="1"/>
        <w:rPr>
          <w:rFonts w:ascii="仿宋" w:hAnsi="仿宋" w:eastAsia="仿宋" w:cs="宋体"/>
          <w:b/>
          <w:bCs/>
          <w:sz w:val="24"/>
        </w:rPr>
      </w:pPr>
      <w:r>
        <w:rPr>
          <w:rFonts w:hint="eastAsia" w:ascii="仿宋" w:hAnsi="仿宋" w:eastAsia="仿宋" w:cs="宋体"/>
          <w:b/>
          <w:bCs/>
          <w:szCs w:val="24"/>
        </w:rPr>
        <w:t>1.3预</w:t>
      </w:r>
      <w:r>
        <w:rPr>
          <w:rFonts w:hint="eastAsia" w:ascii="仿宋" w:hAnsi="仿宋" w:eastAsia="仿宋" w:cs="宋体"/>
          <w:b/>
          <w:bCs/>
          <w:sz w:val="24"/>
        </w:rPr>
        <w:t>约挂号</w:t>
      </w:r>
    </w:p>
    <w:p>
      <w:pPr>
        <w:pStyle w:val="13"/>
        <w:pageBreakBefore w:val="0"/>
        <w:kinsoku/>
        <w:overflowPunct/>
        <w:autoSpaceDE/>
        <w:autoSpaceDN/>
        <w:bidi w:val="0"/>
        <w:spacing w:line="440" w:lineRule="exact"/>
        <w:ind w:firstLine="480"/>
        <w:textAlignment w:val="auto"/>
        <w:rPr>
          <w:rFonts w:hint="default" w:ascii="仿宋" w:hAnsi="仿宋" w:eastAsia="仿宋" w:cs="宋体"/>
          <w:szCs w:val="24"/>
          <w:lang w:val="en-US" w:eastAsia="zh-CN"/>
        </w:rPr>
      </w:pPr>
      <w:r>
        <w:rPr>
          <w:rFonts w:hint="eastAsia" w:ascii="仿宋" w:hAnsi="仿宋" w:eastAsia="仿宋" w:cs="宋体"/>
        </w:rPr>
        <w:t>&lt;1&gt;</w:t>
      </w:r>
      <w:r>
        <w:rPr>
          <w:rFonts w:hint="eastAsia" w:ascii="仿宋" w:hAnsi="仿宋" w:eastAsia="仿宋" w:cs="宋体"/>
          <w:lang w:val="en-US" w:eastAsia="zh-CN"/>
        </w:rPr>
        <w:t>用户预约挂号之前录入个人信息（如姓名，身份证号和联系方式等）时，可手动输入相关信息，也可通过拍照或上传身份证图片进行自动识别提取相关信息。</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rPr>
        <w:t>&lt;</w:t>
      </w:r>
      <w:r>
        <w:rPr>
          <w:rFonts w:hint="eastAsia" w:ascii="仿宋" w:hAnsi="仿宋" w:eastAsia="仿宋" w:cs="宋体"/>
          <w:lang w:val="en-US" w:eastAsia="zh-CN"/>
        </w:rPr>
        <w:t>2</w:t>
      </w:r>
      <w:r>
        <w:rPr>
          <w:rFonts w:hint="eastAsia" w:ascii="仿宋" w:hAnsi="仿宋" w:eastAsia="仿宋" w:cs="宋体"/>
        </w:rPr>
        <w:t>&gt;</w:t>
      </w:r>
      <w:r>
        <w:rPr>
          <w:rFonts w:hint="eastAsia" w:ascii="仿宋" w:hAnsi="仿宋" w:eastAsia="仿宋" w:cs="宋体"/>
          <w:szCs w:val="24"/>
        </w:rPr>
        <w:t>预约挂号应实现用户通过移动端应用随时随地便捷预约挂号功能。基于医院的挂号资源进行开发，可以结合分时段预约系统应实现对应时间段的全号源预约服务。</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w:t>
      </w:r>
      <w:r>
        <w:rPr>
          <w:rFonts w:hint="eastAsia" w:ascii="仿宋" w:hAnsi="仿宋" w:eastAsia="仿宋" w:cs="宋体"/>
          <w:lang w:val="en-US" w:eastAsia="zh-CN"/>
        </w:rPr>
        <w:t>3</w:t>
      </w:r>
      <w:r>
        <w:rPr>
          <w:rFonts w:hint="eastAsia" w:ascii="仿宋" w:hAnsi="仿宋" w:eastAsia="仿宋" w:cs="宋体"/>
        </w:rPr>
        <w:t>&gt;</w:t>
      </w:r>
      <w:r>
        <w:rPr>
          <w:rFonts w:hint="eastAsia" w:ascii="仿宋" w:hAnsi="仿宋" w:eastAsia="仿宋" w:cs="宋体"/>
          <w:szCs w:val="24"/>
        </w:rPr>
        <w:t>用户在了解自己需要挂号的科室信息后，通过平台可以搜索相关科室的详细信息，如当天排班的所有医生信息、专家医生的数量、剩余号源信息等，并进行预约挂号</w:t>
      </w:r>
      <w:r>
        <w:rPr>
          <w:rFonts w:hint="eastAsia" w:ascii="仿宋" w:hAnsi="仿宋" w:eastAsia="仿宋" w:cs="宋体"/>
          <w:szCs w:val="24"/>
          <w:lang w:eastAsia="zh-CN"/>
        </w:rPr>
        <w:t>，</w:t>
      </w:r>
      <w:r>
        <w:rPr>
          <w:rFonts w:hint="eastAsia" w:ascii="仿宋" w:hAnsi="仿宋" w:eastAsia="仿宋" w:cs="宋体"/>
          <w:szCs w:val="24"/>
          <w:lang w:val="en-US" w:eastAsia="zh-CN"/>
        </w:rPr>
        <w:t>挂号安排科安排到时间段，如</w:t>
      </w:r>
      <w:r>
        <w:rPr>
          <w:rFonts w:hint="eastAsia"/>
          <w:lang w:val="en-US" w:eastAsia="zh-CN"/>
        </w:rPr>
        <w:t>9点-9点15</w:t>
      </w:r>
      <w:r>
        <w:rPr>
          <w:rFonts w:hint="eastAsia" w:ascii="仿宋" w:hAnsi="仿宋" w:eastAsia="仿宋" w:cs="宋体"/>
          <w:szCs w:val="24"/>
        </w:rPr>
        <w:t>。</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lang w:val="en-US" w:eastAsia="zh-CN"/>
        </w:rPr>
      </w:pPr>
      <w:r>
        <w:rPr>
          <w:rFonts w:hint="eastAsia" w:ascii="仿宋" w:hAnsi="仿宋" w:eastAsia="仿宋" w:cs="宋体"/>
        </w:rPr>
        <w:t>&lt;</w:t>
      </w:r>
      <w:r>
        <w:rPr>
          <w:rFonts w:hint="eastAsia" w:ascii="仿宋" w:hAnsi="仿宋" w:eastAsia="仿宋" w:cs="宋体"/>
          <w:lang w:val="en-US" w:eastAsia="zh-CN"/>
        </w:rPr>
        <w:t>4</w:t>
      </w:r>
      <w:r>
        <w:rPr>
          <w:rFonts w:hint="eastAsia" w:ascii="仿宋" w:hAnsi="仿宋" w:eastAsia="仿宋" w:cs="宋体"/>
        </w:rPr>
        <w:t>&gt;</w:t>
      </w:r>
      <w:r>
        <w:rPr>
          <w:rFonts w:hint="eastAsia" w:ascii="仿宋" w:hAnsi="仿宋" w:eastAsia="仿宋" w:cs="宋体"/>
          <w:szCs w:val="24"/>
        </w:rPr>
        <w:t>若用户日程有变化，可以找到预约记录，取消本次预约</w:t>
      </w:r>
      <w:r>
        <w:rPr>
          <w:rFonts w:hint="eastAsia" w:ascii="仿宋" w:hAnsi="仿宋" w:eastAsia="仿宋" w:cs="宋体"/>
          <w:szCs w:val="24"/>
          <w:lang w:eastAsia="zh-CN"/>
        </w:rPr>
        <w:t>，</w:t>
      </w:r>
      <w:r>
        <w:rPr>
          <w:rFonts w:hint="eastAsia" w:ascii="仿宋" w:hAnsi="仿宋" w:eastAsia="仿宋" w:cs="宋体"/>
          <w:szCs w:val="24"/>
          <w:lang w:val="en-US" w:eastAsia="zh-CN"/>
        </w:rPr>
        <w:t>取消次数限制每月3次以内。</w:t>
      </w:r>
    </w:p>
    <w:p>
      <w:pPr>
        <w:pStyle w:val="13"/>
        <w:pageBreakBefore w:val="0"/>
        <w:kinsoku/>
        <w:overflowPunct/>
        <w:autoSpaceDE/>
        <w:autoSpaceDN/>
        <w:bidi w:val="0"/>
        <w:spacing w:line="440" w:lineRule="exact"/>
        <w:ind w:firstLine="480"/>
        <w:textAlignment w:val="auto"/>
        <w:outlineLvl w:val="1"/>
        <w:rPr>
          <w:rFonts w:ascii="仿宋" w:hAnsi="仿宋" w:eastAsia="仿宋" w:cs="宋体"/>
          <w:b/>
          <w:bCs/>
          <w:sz w:val="24"/>
        </w:rPr>
      </w:pPr>
      <w:r>
        <w:rPr>
          <w:rFonts w:hint="eastAsia" w:ascii="仿宋" w:hAnsi="仿宋" w:eastAsia="仿宋" w:cs="宋体"/>
          <w:b/>
          <w:bCs/>
          <w:szCs w:val="24"/>
          <w:lang w:val="en-US" w:eastAsia="zh-CN"/>
        </w:rPr>
        <w:t>1.4签</w:t>
      </w:r>
      <w:r>
        <w:rPr>
          <w:rFonts w:hint="eastAsia" w:ascii="仿宋" w:hAnsi="仿宋" w:eastAsia="仿宋" w:cs="宋体"/>
          <w:b/>
          <w:bCs/>
          <w:sz w:val="24"/>
        </w:rPr>
        <w:t>到取号</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szCs w:val="24"/>
        </w:rPr>
        <w:t>已进行过挂号预约的用户当天到医院以后，在医院方圆1000米以内，就可以通过手机进行签到取号，无需到自助机或窗口排队取号。取号之后，即可通过诊间支付手段对挂号费用进行支付，还可以对电子挂号单进行查询。</w:t>
      </w:r>
    </w:p>
    <w:p>
      <w:pPr>
        <w:pStyle w:val="13"/>
        <w:pageBreakBefore w:val="0"/>
        <w:kinsoku/>
        <w:overflowPunct/>
        <w:autoSpaceDE/>
        <w:autoSpaceDN/>
        <w:bidi w:val="0"/>
        <w:spacing w:line="440" w:lineRule="exact"/>
        <w:ind w:firstLine="480"/>
        <w:textAlignment w:val="auto"/>
        <w:outlineLvl w:val="1"/>
        <w:rPr>
          <w:rFonts w:ascii="仿宋" w:hAnsi="仿宋" w:eastAsia="仿宋" w:cs="宋体"/>
          <w:b/>
          <w:bCs/>
          <w:sz w:val="24"/>
        </w:rPr>
      </w:pPr>
      <w:r>
        <w:rPr>
          <w:rFonts w:hint="eastAsia" w:ascii="仿宋" w:hAnsi="仿宋" w:eastAsia="仿宋" w:cs="宋体"/>
          <w:b/>
          <w:bCs/>
          <w:szCs w:val="24"/>
        </w:rPr>
        <w:t>1.5排队叫</w:t>
      </w:r>
      <w:r>
        <w:rPr>
          <w:rFonts w:hint="eastAsia" w:ascii="仿宋" w:hAnsi="仿宋" w:eastAsia="仿宋" w:cs="宋体"/>
          <w:b/>
          <w:bCs/>
          <w:sz w:val="24"/>
        </w:rPr>
        <w:t>号</w:t>
      </w:r>
    </w:p>
    <w:p>
      <w:pPr>
        <w:pStyle w:val="13"/>
        <w:pageBreakBefore w:val="0"/>
        <w:kinsoku/>
        <w:overflowPunct/>
        <w:autoSpaceDE/>
        <w:autoSpaceDN/>
        <w:bidi w:val="0"/>
        <w:spacing w:line="440" w:lineRule="exact"/>
        <w:ind w:firstLine="480"/>
        <w:textAlignment w:val="auto"/>
        <w:rPr>
          <w:rFonts w:ascii="仿宋" w:hAnsi="仿宋" w:eastAsia="仿宋"/>
          <w:szCs w:val="24"/>
        </w:rPr>
      </w:pPr>
      <w:r>
        <w:rPr>
          <w:rFonts w:hint="eastAsia" w:ascii="仿宋" w:hAnsi="仿宋" w:eastAsia="仿宋"/>
          <w:szCs w:val="24"/>
        </w:rPr>
        <w:t>用户可以通过候诊队列信息查询功能，实时展示用户当前候诊队列信息，帮助用户对候诊时间进行大致估算。当临近就诊时间前，系统推送消息提醒用户到诊室候诊准备就诊。并且应支持查询全院科室的排队信息。同时通过医院平面图或文字形式的位置提示，指导用户到相关医生科室就诊。</w:t>
      </w:r>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bookmarkStart w:id="4" w:name="_Toc34294733"/>
      <w:r>
        <w:rPr>
          <w:rFonts w:hint="eastAsia" w:ascii="仿宋" w:hAnsi="仿宋" w:eastAsia="仿宋" w:cs="宋体"/>
        </w:rPr>
        <w:t>（2）诊中服务</w:t>
      </w:r>
      <w:bookmarkEnd w:id="4"/>
    </w:p>
    <w:p>
      <w:pPr>
        <w:pStyle w:val="2"/>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2.1诊间支付</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用户对门诊待支付项目进行查询，方便用户选择待支付项目进行诊间支付，应支持支付宝、微信、银联等第三方支付与掌上储值账户支付。同时应支持对已支付项目进行查询，便于用户掌握自己的支付历史情况，在移动端应用生成业务信息条码，并引导用户到相应窗口执行下一步操作，包括检查取药在内的流程，都可以通过扫码对信息进行识别。医护人员扫描条形码完成业务操作的核对及记录。应实现从付费到离院的半自助就医体验，减少或缓解付费排长队情况。</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&lt;2&gt;</w:t>
      </w:r>
      <w:r>
        <w:rPr>
          <w:rFonts w:hint="eastAsia" w:ascii="仿宋" w:hAnsi="仿宋" w:eastAsia="仿宋" w:cs="宋体"/>
          <w:szCs w:val="24"/>
        </w:rPr>
        <w:t>在医保开通线上脱卡支付相关政策后，能够完成结合医保的线上支付。</w:t>
      </w:r>
    </w:p>
    <w:p>
      <w:pPr>
        <w:pStyle w:val="2"/>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2.2掌上充值</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掌上充值功能适用于已开设储值账户的医院。患者可通过微信、支付宝等途径对账户进行充值并可对账户余额、充值记录进行实时的查询，账户额度可用于就诊费用的快捷支付。</w:t>
      </w:r>
    </w:p>
    <w:p>
      <w:pPr>
        <w:pStyle w:val="2"/>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2.3检查预约</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应支持用户通过移动端在线预约检查，包括门诊检查与住院检查。系统能够提醒检查相关注意事项、检查地点。到院后可直接前往检查科室进行检查，无需二次排队。</w:t>
      </w:r>
    </w:p>
    <w:p>
      <w:pPr>
        <w:pStyle w:val="2"/>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2.4报告查询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应支持门诊、住院报告的在线查询服务。用户在医院做完检查检验项目，出具报告后，能够通过移动端应用收到完成的通知，并对检查、检验报告的详细内容进行查询，方便用户继续完成就诊或复诊。</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&lt;2&gt;</w:t>
      </w:r>
      <w:r>
        <w:rPr>
          <w:rFonts w:hint="eastAsia" w:ascii="仿宋" w:hAnsi="仿宋" w:eastAsia="仿宋" w:cs="宋体"/>
          <w:szCs w:val="24"/>
        </w:rPr>
        <w:t>需要打印报告的用户可以持手机到服务台或自助机扫描二维码打印报告</w:t>
      </w:r>
      <w:r>
        <w:rPr>
          <w:rFonts w:hint="eastAsia" w:ascii="仿宋" w:hAnsi="仿宋" w:eastAsia="仿宋" w:cs="宋体"/>
          <w:szCs w:val="24"/>
          <w:lang w:eastAsia="zh-CN"/>
        </w:rPr>
        <w:t>，</w:t>
      </w:r>
      <w:r>
        <w:rPr>
          <w:rFonts w:hint="eastAsia" w:ascii="仿宋" w:hAnsi="仿宋" w:eastAsia="仿宋" w:cs="宋体"/>
          <w:szCs w:val="24"/>
          <w:lang w:val="en-US" w:eastAsia="zh-CN"/>
        </w:rPr>
        <w:t>只打印一次，两次以上收费</w:t>
      </w:r>
      <w:r>
        <w:rPr>
          <w:rFonts w:hint="eastAsia" w:ascii="仿宋" w:hAnsi="仿宋" w:eastAsia="仿宋" w:cs="宋体"/>
          <w:szCs w:val="24"/>
        </w:rPr>
        <w:t>。</w:t>
      </w:r>
    </w:p>
    <w:p>
      <w:pPr>
        <w:pStyle w:val="2"/>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2.5费用查询</w:t>
      </w:r>
    </w:p>
    <w:p>
      <w:pPr>
        <w:pStyle w:val="13"/>
        <w:pageBreakBefore w:val="0"/>
        <w:kinsoku/>
        <w:overflowPunct/>
        <w:autoSpaceDE/>
        <w:autoSpaceDN/>
        <w:bidi w:val="0"/>
        <w:spacing w:line="440" w:lineRule="exact"/>
        <w:ind w:firstLine="480"/>
        <w:textAlignment w:val="auto"/>
        <w:rPr>
          <w:rFonts w:hint="default" w:eastAsiaTheme="minorEastAsia"/>
          <w:lang w:val="en-US" w:eastAsia="zh-CN"/>
        </w:rPr>
      </w:pPr>
      <w:r>
        <w:rPr>
          <w:rFonts w:hint="eastAsia" w:ascii="仿宋" w:hAnsi="仿宋" w:eastAsia="仿宋" w:cs="宋体"/>
        </w:rPr>
        <w:t>&lt;1&gt;</w:t>
      </w:r>
      <w:r>
        <w:rPr>
          <w:rFonts w:hint="eastAsia" w:ascii="仿宋" w:hAnsi="仿宋" w:eastAsia="仿宋" w:cs="宋体"/>
          <w:szCs w:val="24"/>
        </w:rPr>
        <w:t>针对门诊用户，平台应实现用户通过移动端应用对门诊过程中产生的相关费用明细情况进行查询的功能，让用户能够明确了解自己每一笔门诊费用支出情况</w:t>
      </w:r>
      <w:r>
        <w:rPr>
          <w:rFonts w:hint="eastAsia" w:ascii="仿宋" w:hAnsi="仿宋" w:eastAsia="仿宋" w:cs="宋体"/>
          <w:szCs w:val="24"/>
          <w:lang w:eastAsia="zh-CN"/>
        </w:rPr>
        <w:t>，</w:t>
      </w:r>
      <w:r>
        <w:rPr>
          <w:rFonts w:hint="eastAsia"/>
          <w:lang w:val="en-US" w:eastAsia="zh-CN"/>
        </w:rPr>
        <w:t>并支持电子发票下载（PDF）。</w:t>
      </w:r>
    </w:p>
    <w:p>
      <w:pPr>
        <w:pStyle w:val="12"/>
        <w:pageBreakBefore w:val="0"/>
        <w:numPr>
          <w:ilvl w:val="0"/>
          <w:numId w:val="2"/>
        </w:numPr>
        <w:kinsoku/>
        <w:overflowPunct/>
        <w:autoSpaceDE/>
        <w:autoSpaceDN/>
        <w:bidi w:val="0"/>
        <w:spacing w:line="440" w:lineRule="exact"/>
        <w:textAlignment w:val="auto"/>
        <w:outlineLvl w:val="0"/>
        <w:rPr>
          <w:rFonts w:hint="eastAsia" w:ascii="仿宋" w:hAnsi="仿宋" w:eastAsia="仿宋" w:cs="宋体"/>
        </w:rPr>
      </w:pPr>
      <w:bookmarkStart w:id="5" w:name="_Toc34294734"/>
      <w:r>
        <w:rPr>
          <w:rFonts w:hint="eastAsia" w:ascii="仿宋" w:hAnsi="仿宋" w:eastAsia="仿宋" w:cs="宋体"/>
        </w:rPr>
        <w:t>住院服务</w:t>
      </w:r>
      <w:bookmarkEnd w:id="5"/>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3.1住院预约</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医生开出电子住院单后，平台应支持用户通过移动端应用进行住院预约，包含住院日期、床位，住院基本信息确认登记，入院准备中心工作人员审核确认后，反馈给用户预约结果。</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3.2住院预缴金</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应实现用户通过移动端应用在线充值住院预缴金，也应支持对历史充值明细信息、预缴金余额信息进行查询。</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3.3每日清单</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针对住院用户，可以通过移动端应用对住院费用清单进行查询，了解自己当日所花费用的明细情况。</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3.4手术查询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患者家属能够在移动端实时查询手术进展情况；手术状态变化时，推送消息提醒家属。</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3.5出院结算</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应支持住院患者在线查询住院期间的结算信息，并应支持自费患者在移动端进行出院前的费用结算。</w:t>
      </w:r>
    </w:p>
    <w:p>
      <w:pPr>
        <w:pStyle w:val="12"/>
        <w:pageBreakBefore w:val="0"/>
        <w:numPr>
          <w:ilvl w:val="0"/>
          <w:numId w:val="2"/>
        </w:numPr>
        <w:kinsoku/>
        <w:overflowPunct/>
        <w:autoSpaceDE/>
        <w:autoSpaceDN/>
        <w:bidi w:val="0"/>
        <w:spacing w:line="440" w:lineRule="exact"/>
        <w:textAlignment w:val="auto"/>
        <w:outlineLvl w:val="0"/>
        <w:rPr>
          <w:rFonts w:hint="eastAsia" w:ascii="仿宋" w:hAnsi="仿宋" w:eastAsia="仿宋" w:cs="宋体"/>
          <w:b/>
          <w:bCs/>
          <w:szCs w:val="24"/>
        </w:rPr>
      </w:pPr>
      <w:bookmarkStart w:id="6" w:name="_Toc34294735"/>
      <w:bookmarkStart w:id="7" w:name="_Toc20757508"/>
      <w:r>
        <w:rPr>
          <w:rFonts w:hint="eastAsia" w:ascii="仿宋" w:hAnsi="仿宋" w:eastAsia="仿宋" w:cs="宋体"/>
          <w:b/>
          <w:bCs/>
          <w:szCs w:val="24"/>
        </w:rPr>
        <w:t>互联网诊疗</w:t>
      </w:r>
      <w:bookmarkEnd w:id="6"/>
      <w:bookmarkEnd w:id="7"/>
    </w:p>
    <w:p>
      <w:pPr>
        <w:pStyle w:val="13"/>
        <w:pageBreakBefore w:val="0"/>
        <w:kinsoku/>
        <w:overflowPunct/>
        <w:autoSpaceDE/>
        <w:autoSpaceDN/>
        <w:bidi w:val="0"/>
        <w:spacing w:line="440" w:lineRule="exact"/>
        <w:ind w:firstLine="480"/>
        <w:textAlignment w:val="auto"/>
        <w:rPr>
          <w:rFonts w:ascii="仿宋" w:hAnsi="仿宋" w:eastAsia="仿宋" w:cs="宋体"/>
          <w:sz w:val="24"/>
        </w:rPr>
      </w:pPr>
      <w:r>
        <w:rPr>
          <w:rFonts w:hint="eastAsia" w:ascii="仿宋" w:hAnsi="仿宋" w:eastAsia="仿宋" w:cs="宋体"/>
          <w:szCs w:val="24"/>
        </w:rPr>
        <w:t>&lt;1&gt;医疗机构利用在本机构注册的医师，通过互联网等信息技术开展部分常见病、慢性病复</w:t>
      </w:r>
      <w:r>
        <w:rPr>
          <w:rFonts w:hint="eastAsia" w:ascii="仿宋" w:hAnsi="仿宋" w:eastAsia="仿宋" w:cs="宋体"/>
          <w:sz w:val="24"/>
        </w:rPr>
        <w:t>诊以及健康咨询。居民可以通过移动端应用与医生进行互动，享受互联网诊疗服务。</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4.1咨询申请</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患者通过移动端应用查询平台提供在线咨询服务的医生，应支持对医生的擅长、简介、历史评价等信息进行查询。根据自身需求选择图文咨询、电话咨询、视频咨询，并上传个人病情描述及相关照片，并支付咨询费用。选择电话、视频咨询的患者需要选择咨询时间。</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4.2图文咨询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申请图文咨询服务的患者，能够通过文字、图片、语音形式，与医生进行咨询互动。</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4.3电话咨询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申请电话咨询服务的患者，能够通过文字、图片、语音及电话的形式，与医生进行咨询互动，电话由医生发起，平台会对双方号码做隐私保护。</w:t>
      </w:r>
    </w:p>
    <w:p>
      <w:pPr>
        <w:pStyle w:val="3"/>
        <w:pageBreakBefore w:val="0"/>
        <w:kinsoku/>
        <w:overflowPunct/>
        <w:autoSpaceDE/>
        <w:autoSpaceDN/>
        <w:bidi w:val="0"/>
        <w:spacing w:before="0" w:after="0" w:line="440" w:lineRule="exact"/>
        <w:ind w:firstLine="241" w:firstLineChars="100"/>
        <w:textAlignment w:val="auto"/>
        <w:outlineLvl w:val="1"/>
        <w:rPr>
          <w:rFonts w:ascii="仿宋" w:hAnsi="仿宋" w:eastAsia="仿宋" w:cs="宋体"/>
          <w:sz w:val="24"/>
          <w:szCs w:val="24"/>
        </w:rPr>
      </w:pPr>
      <w:r>
        <w:rPr>
          <w:rFonts w:hint="eastAsia" w:ascii="仿宋" w:hAnsi="仿宋" w:eastAsia="仿宋" w:cs="宋体"/>
          <w:sz w:val="24"/>
          <w:szCs w:val="24"/>
        </w:rPr>
        <w:t>4.4视频咨询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申请视频咨询服务的患者，能够通过文字、图片、语音及视频通话的形式，与医生进行咨询互动，视频通话申请由医生发起。</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4.5复诊配药</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sz w:val="24"/>
        </w:rPr>
        <w:t>&lt;1&gt;在3月内</w:t>
      </w:r>
      <w:r>
        <w:rPr>
          <w:rFonts w:hint="eastAsia" w:ascii="仿宋" w:hAnsi="仿宋" w:eastAsia="仿宋" w:cs="宋体"/>
          <w:szCs w:val="24"/>
        </w:rPr>
        <w:t>有常见病、慢性病线下就诊记录的患者用户，可以发起在线复诊配药。</w:t>
      </w:r>
    </w:p>
    <w:p>
      <w:pPr>
        <w:pStyle w:val="13"/>
        <w:pageBreakBefore w:val="0"/>
        <w:kinsoku/>
        <w:overflowPunct/>
        <w:autoSpaceDE/>
        <w:autoSpaceDN/>
        <w:bidi w:val="0"/>
        <w:spacing w:line="440" w:lineRule="exact"/>
        <w:ind w:firstLine="480"/>
        <w:textAlignment w:val="auto"/>
        <w:rPr>
          <w:rFonts w:hint="eastAsia" w:ascii="仿宋" w:hAnsi="仿宋" w:eastAsia="仿宋" w:cs="宋体"/>
          <w:sz w:val="24"/>
        </w:rPr>
      </w:pPr>
      <w:r>
        <w:rPr>
          <w:rFonts w:hint="eastAsia" w:ascii="仿宋" w:hAnsi="仿宋" w:eastAsia="仿宋" w:cs="宋体"/>
          <w:szCs w:val="24"/>
        </w:rPr>
        <w:t>&lt;2&gt;复诊配药功能应实现居民通过移动端应用，对符合复诊配药的处方发起配药申请，医生接到申请后，在线开具处方，经药师审核后，将电子处方发送给居民，居民在线选择取药方式（应支持到院取药或物流配送），选择物流配送后，居民在线支付药费，药</w:t>
      </w:r>
      <w:r>
        <w:rPr>
          <w:rFonts w:hint="eastAsia" w:ascii="仿宋" w:hAnsi="仿宋" w:eastAsia="仿宋" w:cs="宋体"/>
          <w:sz w:val="24"/>
        </w:rPr>
        <w:t>品配送到家。</w:t>
      </w:r>
    </w:p>
    <w:p>
      <w:pPr>
        <w:pStyle w:val="4"/>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default" w:ascii="仿宋" w:hAnsi="仿宋" w:eastAsia="仿宋" w:cs="宋体"/>
          <w:b/>
          <w:bCs/>
          <w:kern w:val="2"/>
          <w:sz w:val="24"/>
          <w:szCs w:val="24"/>
          <w:lang w:val="en-US" w:eastAsia="zh-CN" w:bidi="ar-SA"/>
        </w:rPr>
      </w:pPr>
      <w:r>
        <w:rPr>
          <w:rFonts w:hint="eastAsia" w:ascii="仿宋" w:hAnsi="仿宋" w:eastAsia="仿宋" w:cs="宋体"/>
          <w:b/>
          <w:bCs/>
          <w:kern w:val="2"/>
          <w:sz w:val="24"/>
          <w:szCs w:val="24"/>
          <w:lang w:val="en-US" w:eastAsia="zh-CN" w:bidi="ar-SA"/>
        </w:rPr>
        <w:t>4.6 自主预约检查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无需病人挂号，支持患者自主预约检查，如自主开肝功、肾功，由医生在线审核，并告知注意事项，如查肝功需空腹等。</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bookmarkStart w:id="8" w:name="_Toc19866634"/>
      <w:bookmarkStart w:id="9" w:name="_Toc517774782"/>
      <w:r>
        <w:rPr>
          <w:rFonts w:hint="eastAsia" w:ascii="仿宋" w:hAnsi="仿宋" w:eastAsia="仿宋" w:cs="宋体"/>
          <w:sz w:val="24"/>
          <w:szCs w:val="24"/>
        </w:rPr>
        <w:t>4.</w:t>
      </w:r>
      <w:r>
        <w:rPr>
          <w:rFonts w:hint="eastAsia" w:ascii="仿宋" w:hAnsi="仿宋" w:eastAsia="仿宋" w:cs="宋体"/>
          <w:sz w:val="24"/>
          <w:szCs w:val="24"/>
          <w:lang w:val="en-US" w:eastAsia="zh-CN"/>
        </w:rPr>
        <w:t>7</w:t>
      </w:r>
      <w:r>
        <w:rPr>
          <w:rFonts w:hint="eastAsia" w:ascii="仿宋" w:hAnsi="仿宋" w:eastAsia="仿宋" w:cs="宋体"/>
          <w:sz w:val="24"/>
          <w:szCs w:val="24"/>
        </w:rPr>
        <w:t>云诊室预约</w:t>
      </w:r>
      <w:bookmarkEnd w:id="8"/>
      <w:bookmarkEnd w:id="9"/>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rPr>
        <w:t>&lt;1&gt;</w:t>
      </w:r>
      <w:r>
        <w:rPr>
          <w:rFonts w:hint="eastAsia" w:ascii="仿宋" w:hAnsi="仿宋" w:eastAsia="仿宋" w:cs="宋体"/>
          <w:szCs w:val="24"/>
        </w:rPr>
        <w:t>系统管理人员在后台对云诊室医生进行排班后，患者可使用云预约模块根据自身需求快速预约云诊室号源。预约之后需要填写病情描述及历史诊断，可以上传病历图片。</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bookmarkStart w:id="10" w:name="_Toc517774784"/>
      <w:bookmarkStart w:id="11" w:name="_Toc19866636"/>
      <w:r>
        <w:rPr>
          <w:rFonts w:hint="eastAsia" w:ascii="仿宋" w:hAnsi="仿宋" w:eastAsia="仿宋" w:cs="宋体"/>
          <w:sz w:val="24"/>
          <w:szCs w:val="24"/>
        </w:rPr>
        <w:t>4.</w:t>
      </w:r>
      <w:r>
        <w:rPr>
          <w:rFonts w:hint="eastAsia" w:ascii="仿宋" w:hAnsi="仿宋" w:eastAsia="仿宋" w:cs="宋体"/>
          <w:sz w:val="24"/>
          <w:szCs w:val="24"/>
          <w:lang w:val="en-US" w:eastAsia="zh-CN"/>
        </w:rPr>
        <w:t>8</w:t>
      </w:r>
      <w:r>
        <w:rPr>
          <w:rFonts w:hint="eastAsia" w:ascii="仿宋" w:hAnsi="仿宋" w:eastAsia="仿宋" w:cs="宋体"/>
          <w:sz w:val="24"/>
          <w:szCs w:val="24"/>
        </w:rPr>
        <w:t>云支付</w:t>
      </w:r>
      <w:bookmarkEnd w:id="10"/>
      <w:bookmarkEnd w:id="11"/>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患者预约挂号完成后，能够通过移动端应用直接对挂号费用进行支付，支付后，即可进行云候诊。</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bookmarkStart w:id="12" w:name="_Toc19866637"/>
      <w:bookmarkStart w:id="13" w:name="_Toc517774785"/>
      <w:r>
        <w:rPr>
          <w:rFonts w:hint="eastAsia" w:ascii="仿宋" w:hAnsi="仿宋" w:eastAsia="仿宋" w:cs="宋体"/>
          <w:sz w:val="24"/>
          <w:szCs w:val="24"/>
        </w:rPr>
        <w:t>4.</w:t>
      </w:r>
      <w:r>
        <w:rPr>
          <w:rFonts w:hint="eastAsia" w:ascii="仿宋" w:hAnsi="仿宋" w:eastAsia="仿宋" w:cs="宋体"/>
          <w:sz w:val="24"/>
          <w:szCs w:val="24"/>
          <w:lang w:val="en-US" w:eastAsia="zh-CN"/>
        </w:rPr>
        <w:t>9</w:t>
      </w:r>
      <w:r>
        <w:rPr>
          <w:rFonts w:hint="eastAsia" w:ascii="仿宋" w:hAnsi="仿宋" w:eastAsia="仿宋" w:cs="宋体"/>
          <w:sz w:val="24"/>
          <w:szCs w:val="24"/>
        </w:rPr>
        <w:t>云诊室候诊</w:t>
      </w:r>
      <w:bookmarkEnd w:id="12"/>
      <w:bookmarkEnd w:id="13"/>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云候诊功能即线上的叫号模块，患者进入候诊队列等待医生叫号，可通过此模块查询当前医生队列候诊情况，在到达预约时间前一段时间平台会以短信或消息的方式提醒居民。</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bookmarkStart w:id="14" w:name="_Toc19866638"/>
      <w:bookmarkStart w:id="15" w:name="_Toc517774786"/>
      <w:r>
        <w:rPr>
          <w:rFonts w:hint="eastAsia" w:ascii="仿宋" w:hAnsi="仿宋" w:eastAsia="仿宋" w:cs="宋体"/>
          <w:sz w:val="24"/>
          <w:szCs w:val="24"/>
        </w:rPr>
        <w:t>4.</w:t>
      </w:r>
      <w:r>
        <w:rPr>
          <w:rFonts w:hint="eastAsia" w:ascii="仿宋" w:hAnsi="仿宋" w:eastAsia="仿宋" w:cs="宋体"/>
          <w:sz w:val="24"/>
          <w:szCs w:val="24"/>
          <w:lang w:val="en-US" w:eastAsia="zh-CN"/>
        </w:rPr>
        <w:t>10</w:t>
      </w:r>
      <w:r>
        <w:rPr>
          <w:rFonts w:hint="eastAsia" w:ascii="仿宋" w:hAnsi="仿宋" w:eastAsia="仿宋" w:cs="宋体"/>
          <w:sz w:val="24"/>
          <w:szCs w:val="24"/>
        </w:rPr>
        <w:t>在线问诊</w:t>
      </w:r>
      <w:bookmarkEnd w:id="14"/>
      <w:bookmarkEnd w:id="15"/>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rPr>
        <w:t>&lt;1&gt;</w:t>
      </w:r>
      <w:r>
        <w:rPr>
          <w:rFonts w:hint="eastAsia" w:ascii="仿宋" w:hAnsi="仿宋" w:eastAsia="仿宋" w:cs="宋体"/>
          <w:szCs w:val="24"/>
        </w:rPr>
        <w:t>根据居民预约情况，医生向居民发起在线视频问诊请求。居民接受后即可通过音视频通道与医生进行实时沟通。</w:t>
      </w:r>
    </w:p>
    <w:p>
      <w:pPr>
        <w:pStyle w:val="3"/>
        <w:pageBreakBefore w:val="0"/>
        <w:kinsoku/>
        <w:overflowPunct/>
        <w:autoSpaceDE/>
        <w:autoSpaceDN/>
        <w:bidi w:val="0"/>
        <w:spacing w:before="0" w:after="0" w:line="440" w:lineRule="exact"/>
        <w:ind w:left="420" w:leftChars="200"/>
        <w:textAlignment w:val="auto"/>
        <w:outlineLvl w:val="1"/>
        <w:rPr>
          <w:rFonts w:hint="eastAsia" w:ascii="仿宋" w:hAnsi="仿宋" w:eastAsia="仿宋" w:cs="宋体"/>
          <w:sz w:val="24"/>
          <w:szCs w:val="24"/>
          <w:lang w:val="en-US" w:eastAsia="zh-CN"/>
        </w:rPr>
      </w:pPr>
      <w:r>
        <w:rPr>
          <w:rFonts w:hint="eastAsia" w:ascii="仿宋" w:hAnsi="仿宋" w:eastAsia="仿宋" w:cs="宋体"/>
          <w:sz w:val="24"/>
          <w:szCs w:val="24"/>
        </w:rPr>
        <w:t>4.1</w:t>
      </w:r>
      <w:r>
        <w:rPr>
          <w:rFonts w:hint="eastAsia" w:ascii="仿宋" w:hAnsi="仿宋" w:eastAsia="仿宋" w:cs="宋体"/>
          <w:sz w:val="24"/>
          <w:szCs w:val="24"/>
          <w:lang w:val="en-US" w:eastAsia="zh-CN"/>
        </w:rPr>
        <w:t>1居家护理服务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rPr>
      </w:pPr>
      <w:r>
        <w:rPr>
          <w:rFonts w:hint="eastAsia" w:ascii="仿宋" w:hAnsi="仿宋" w:eastAsia="仿宋" w:cs="宋体"/>
          <w:sz w:val="24"/>
          <w:szCs w:val="24"/>
          <w:lang w:val="en-US" w:eastAsia="zh-CN"/>
        </w:rPr>
        <w:t xml:space="preserve">     在患者</w:t>
      </w:r>
      <w:r>
        <w:rPr>
          <w:rFonts w:hint="eastAsia" w:ascii="仿宋" w:hAnsi="仿宋" w:eastAsia="仿宋" w:cs="宋体"/>
          <w:kern w:val="2"/>
          <w:sz w:val="24"/>
          <w:szCs w:val="24"/>
          <w:lang w:val="en-US" w:eastAsia="zh-CN" w:bidi="ar-SA"/>
        </w:rPr>
        <w:t>端提供上门全护理服务，如上门打针、上门插管、伤口换药和母婴等相关护理服务，患者可在申请预约时选择需要的服务种类及护理人员性别，并考虑护士上门安全问题，如地图跟踪</w:t>
      </w:r>
      <w:r>
        <w:rPr>
          <w:rFonts w:hint="eastAsia" w:ascii="仿宋" w:hAnsi="仿宋" w:eastAsia="仿宋" w:cs="宋体"/>
          <w:sz w:val="24"/>
          <w:szCs w:val="24"/>
          <w:lang w:val="en-US" w:eastAsia="zh-CN"/>
        </w:rPr>
        <w:t>、一键报警等。</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4.1</w:t>
      </w:r>
      <w:r>
        <w:rPr>
          <w:rFonts w:hint="eastAsia" w:ascii="仿宋" w:hAnsi="仿宋" w:eastAsia="仿宋" w:cs="宋体"/>
          <w:sz w:val="24"/>
          <w:szCs w:val="24"/>
          <w:lang w:val="en-US" w:eastAsia="zh-CN"/>
        </w:rPr>
        <w:t>2</w:t>
      </w:r>
      <w:r>
        <w:rPr>
          <w:rFonts w:hint="eastAsia" w:ascii="仿宋" w:hAnsi="仿宋" w:eastAsia="仿宋" w:cs="宋体"/>
          <w:sz w:val="24"/>
          <w:szCs w:val="24"/>
        </w:rPr>
        <w:t>我的订单</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云诊室医生开出检查检验单或者处方单后，居民可在此查看药品配送订单和检查检验项目订单，对项目进行支付、选择药品配送方式、查询物流信息等。</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4.1</w:t>
      </w:r>
      <w:r>
        <w:rPr>
          <w:rFonts w:hint="eastAsia" w:ascii="仿宋" w:hAnsi="仿宋" w:eastAsia="仿宋" w:cs="宋体"/>
          <w:sz w:val="24"/>
          <w:szCs w:val="24"/>
          <w:lang w:val="en-US" w:eastAsia="zh-CN"/>
        </w:rPr>
        <w:t>3</w:t>
      </w:r>
      <w:r>
        <w:rPr>
          <w:rFonts w:hint="eastAsia" w:ascii="仿宋" w:hAnsi="仿宋" w:eastAsia="仿宋" w:cs="宋体"/>
          <w:sz w:val="24"/>
          <w:szCs w:val="24"/>
        </w:rPr>
        <w:t>服务评价</w:t>
      </w:r>
    </w:p>
    <w:p>
      <w:pPr>
        <w:pageBreakBefore w:val="0"/>
        <w:kinsoku/>
        <w:overflowPunct/>
        <w:autoSpaceDE/>
        <w:autoSpaceDN/>
        <w:bidi w:val="0"/>
        <w:spacing w:line="440" w:lineRule="exact"/>
        <w:ind w:firstLine="420" w:firstLineChars="200"/>
        <w:textAlignment w:val="auto"/>
        <w:rPr>
          <w:rFonts w:hint="eastAsia" w:ascii="仿宋" w:hAnsi="仿宋" w:eastAsia="仿宋" w:cs="宋体"/>
          <w:sz w:val="24"/>
        </w:rPr>
      </w:pPr>
      <w:r>
        <w:rPr>
          <w:rFonts w:hint="eastAsia" w:ascii="仿宋" w:hAnsi="仿宋" w:eastAsia="仿宋" w:cs="宋体"/>
        </w:rPr>
        <w:t>&lt;1&gt;</w:t>
      </w:r>
      <w:r>
        <w:rPr>
          <w:rFonts w:hint="eastAsia" w:ascii="仿宋" w:hAnsi="仿宋" w:eastAsia="仿宋" w:cs="宋体"/>
          <w:sz w:val="24"/>
        </w:rPr>
        <w:t>对已结束的互联网诊疗服务，用户可以通过打分或输入主观描述的形式进行评价。</w:t>
      </w:r>
    </w:p>
    <w:p>
      <w:pPr>
        <w:pStyle w:val="12"/>
        <w:pageBreakBefore w:val="0"/>
        <w:numPr>
          <w:ilvl w:val="0"/>
          <w:numId w:val="2"/>
        </w:numPr>
        <w:kinsoku/>
        <w:overflowPunct/>
        <w:autoSpaceDE/>
        <w:autoSpaceDN/>
        <w:bidi w:val="0"/>
        <w:spacing w:line="440" w:lineRule="exact"/>
        <w:textAlignment w:val="auto"/>
        <w:outlineLvl w:val="0"/>
        <w:rPr>
          <w:rFonts w:ascii="仿宋" w:hAnsi="仿宋" w:eastAsia="仿宋" w:cs="宋体"/>
        </w:rPr>
      </w:pPr>
      <w:bookmarkStart w:id="16" w:name="_Toc34294736"/>
      <w:r>
        <w:rPr>
          <w:rFonts w:hint="eastAsia" w:ascii="仿宋" w:hAnsi="仿宋" w:eastAsia="仿宋" w:cs="宋体"/>
        </w:rPr>
        <w:t>诊后服务</w:t>
      </w:r>
      <w:bookmarkEnd w:id="16"/>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5.1出院带药</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应支持患者出院后，在移动端应用上查看历次出院带药的处方信息、药品服用方式等信息</w:t>
      </w:r>
      <w:r>
        <w:rPr>
          <w:rFonts w:hint="eastAsia" w:ascii="仿宋" w:hAnsi="仿宋" w:eastAsia="仿宋" w:cs="宋体"/>
          <w:szCs w:val="24"/>
          <w:lang w:val="en-US" w:eastAsia="zh-CN"/>
        </w:rPr>
        <w:t>并提醒本次出院的注意事项（包括离院带药、复诊时间等）</w:t>
      </w:r>
      <w:r>
        <w:rPr>
          <w:rFonts w:hint="eastAsia" w:ascii="仿宋" w:hAnsi="仿宋" w:eastAsia="仿宋" w:cs="宋体"/>
          <w:szCs w:val="24"/>
        </w:rPr>
        <w:t>。</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5.2病历复印</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应支持患者出院后，在移动端办理出院病案复印申请、预约自提、快递邮寄、状态查询等业务，在家就能获得所需的病历资料。</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5.3用药提醒</w:t>
      </w:r>
    </w:p>
    <w:p>
      <w:pPr>
        <w:pageBreakBefore w:val="0"/>
        <w:kinsoku/>
        <w:overflowPunct/>
        <w:autoSpaceDE/>
        <w:autoSpaceDN/>
        <w:bidi w:val="0"/>
        <w:spacing w:line="440" w:lineRule="exact"/>
        <w:ind w:firstLine="420" w:firstLineChars="200"/>
        <w:textAlignment w:val="auto"/>
        <w:rPr>
          <w:rFonts w:ascii="仿宋" w:hAnsi="仿宋" w:eastAsia="仿宋" w:cs="宋体"/>
          <w:sz w:val="24"/>
        </w:rPr>
      </w:pPr>
      <w:r>
        <w:rPr>
          <w:rFonts w:hint="eastAsia" w:ascii="仿宋" w:hAnsi="仿宋" w:eastAsia="仿宋" w:cs="宋体"/>
        </w:rPr>
        <w:t>&lt;1&gt;</w:t>
      </w:r>
      <w:r>
        <w:rPr>
          <w:rFonts w:hint="eastAsia" w:ascii="仿宋" w:hAnsi="仿宋" w:eastAsia="仿宋" w:cs="宋体"/>
          <w:sz w:val="24"/>
        </w:rPr>
        <w:t>用药提醒功能应实现用户通过移动端应用对自我或者家人的用药情况进行提醒。</w:t>
      </w:r>
    </w:p>
    <w:p>
      <w:pPr>
        <w:pageBreakBefore w:val="0"/>
        <w:kinsoku/>
        <w:overflowPunct/>
        <w:autoSpaceDE/>
        <w:autoSpaceDN/>
        <w:bidi w:val="0"/>
        <w:spacing w:line="440" w:lineRule="exact"/>
        <w:ind w:firstLine="420" w:firstLineChars="200"/>
        <w:textAlignment w:val="auto"/>
        <w:rPr>
          <w:rFonts w:ascii="仿宋" w:hAnsi="仿宋" w:eastAsia="仿宋" w:cs="宋体"/>
          <w:sz w:val="24"/>
        </w:rPr>
      </w:pPr>
      <w:r>
        <w:rPr>
          <w:rFonts w:hint="eastAsia" w:ascii="仿宋" w:hAnsi="仿宋" w:eastAsia="仿宋" w:cs="宋体"/>
        </w:rPr>
        <w:t>&lt;2&gt;</w:t>
      </w:r>
      <w:r>
        <w:rPr>
          <w:rFonts w:hint="eastAsia" w:ascii="仿宋" w:hAnsi="仿宋" w:eastAsia="仿宋" w:cs="宋体"/>
          <w:sz w:val="24"/>
        </w:rPr>
        <w:t>通过移动端应用对接获取用户处方信息，由用户录入提醒时间，生成用药提醒计划。或者由用户手动设置用药计划，定期定时对用药用户进行提醒。</w:t>
      </w:r>
    </w:p>
    <w:p>
      <w:pPr>
        <w:pStyle w:val="12"/>
        <w:pageBreakBefore w:val="0"/>
        <w:numPr>
          <w:ilvl w:val="0"/>
          <w:numId w:val="3"/>
        </w:numPr>
        <w:tabs>
          <w:tab w:val="left" w:pos="812"/>
        </w:tabs>
        <w:kinsoku/>
        <w:overflowPunct/>
        <w:autoSpaceDE/>
        <w:autoSpaceDN/>
        <w:bidi w:val="0"/>
        <w:spacing w:line="440" w:lineRule="exact"/>
        <w:ind w:left="418" w:leftChars="104" w:hanging="200" w:hangingChars="83"/>
        <w:textAlignment w:val="auto"/>
        <w:outlineLvl w:val="0"/>
        <w:rPr>
          <w:rFonts w:ascii="仿宋" w:hAnsi="仿宋" w:eastAsia="仿宋" w:cs="宋体"/>
        </w:rPr>
      </w:pPr>
      <w:bookmarkStart w:id="17" w:name="_Toc34294737"/>
      <w:r>
        <w:rPr>
          <w:rFonts w:hint="eastAsia" w:ascii="仿宋" w:hAnsi="仿宋" w:eastAsia="仿宋" w:cs="宋体"/>
        </w:rPr>
        <w:t>全程服务</w:t>
      </w:r>
      <w:bookmarkEnd w:id="17"/>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6.1待办事项</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待办事项功能会根据用户的待处理业务提供业务指引。</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&lt;2&gt;</w:t>
      </w:r>
      <w:r>
        <w:rPr>
          <w:rFonts w:hint="eastAsia" w:ascii="仿宋" w:hAnsi="仿宋" w:eastAsia="仿宋" w:cs="宋体"/>
          <w:szCs w:val="24"/>
        </w:rPr>
        <w:t>用户点击首页滚动条中显示的待办事项，系统根据具体事项跳转到相应页面，对用户进行提醒和指导。</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6.2价格公示</w:t>
      </w:r>
    </w:p>
    <w:p>
      <w:pPr>
        <w:pageBreakBefore w:val="0"/>
        <w:kinsoku/>
        <w:overflowPunct/>
        <w:autoSpaceDE/>
        <w:autoSpaceDN/>
        <w:bidi w:val="0"/>
        <w:spacing w:line="440" w:lineRule="exact"/>
        <w:ind w:firstLine="420" w:firstLineChars="200"/>
        <w:textAlignment w:val="auto"/>
        <w:rPr>
          <w:rFonts w:ascii="仿宋" w:hAnsi="仿宋" w:eastAsia="仿宋" w:cs="宋体"/>
          <w:sz w:val="24"/>
        </w:rPr>
      </w:pPr>
      <w:r>
        <w:rPr>
          <w:rFonts w:hint="eastAsia" w:ascii="仿宋" w:hAnsi="仿宋" w:eastAsia="仿宋" w:cs="宋体"/>
        </w:rPr>
        <w:t>&lt;1&gt;</w:t>
      </w:r>
      <w:r>
        <w:rPr>
          <w:rFonts w:hint="eastAsia" w:ascii="仿宋" w:hAnsi="仿宋" w:eastAsia="仿宋" w:cs="宋体"/>
          <w:sz w:val="24"/>
        </w:rPr>
        <w:t>应支持在移动端对医院药品和检查治疗等项目的价格进行公示，用户可以通过中文名或拼音首字母查询的形式定位到相应项目。</w:t>
      </w:r>
      <w:bookmarkEnd w:id="2"/>
      <w:bookmarkEnd w:id="3"/>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6.3健康记录</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应支持用户在移动端查询历史的门诊就诊记录、住院记录、云门诊记录、复诊配药记录，以及相应的就诊病历信息，包含门诊病历、处方、处置、检查检验报告、出院小结等。</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6.4健康资讯</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为用户提供健康教育、线下活动、相关政策等健康指导信息：如根据季节、天气变化等提供疾病预防相关提醒信息；针对孕妇、老人、儿童等特殊人群提供医疗卫生保健知识；针对高血压、糖尿病等慢性病患者提供健康行为、饮食运动等指导信息。</w:t>
      </w:r>
    </w:p>
    <w:p>
      <w:pPr>
        <w:pStyle w:val="3"/>
        <w:pageBreakBefore w:val="0"/>
        <w:kinsoku/>
        <w:overflowPunct/>
        <w:autoSpaceDE/>
        <w:autoSpaceDN/>
        <w:bidi w:val="0"/>
        <w:spacing w:before="0" w:after="0" w:line="440" w:lineRule="exact"/>
        <w:ind w:firstLine="241" w:firstLineChars="100"/>
        <w:textAlignment w:val="auto"/>
        <w:outlineLvl w:val="1"/>
        <w:rPr>
          <w:rFonts w:ascii="仿宋" w:hAnsi="仿宋" w:eastAsia="仿宋" w:cs="宋体"/>
          <w:sz w:val="24"/>
          <w:szCs w:val="24"/>
        </w:rPr>
      </w:pPr>
      <w:r>
        <w:rPr>
          <w:rFonts w:hint="eastAsia" w:ascii="仿宋" w:hAnsi="仿宋" w:eastAsia="仿宋" w:cs="宋体"/>
          <w:sz w:val="24"/>
          <w:szCs w:val="24"/>
        </w:rPr>
        <w:t>6.5健康百科</w:t>
      </w:r>
    </w:p>
    <w:p>
      <w:pPr>
        <w:pStyle w:val="13"/>
        <w:pageBreakBefore w:val="0"/>
        <w:kinsoku/>
        <w:overflowPunct/>
        <w:autoSpaceDE/>
        <w:autoSpaceDN/>
        <w:bidi w:val="0"/>
        <w:spacing w:line="440" w:lineRule="exact"/>
        <w:ind w:firstLine="480"/>
        <w:textAlignment w:val="auto"/>
        <w:rPr>
          <w:rFonts w:ascii="仿宋" w:hAnsi="仿宋" w:eastAsia="仿宋" w:cs="宋体"/>
          <w:szCs w:val="24"/>
          <w:lang w:val="zh-TW" w:eastAsia="zh-TW"/>
        </w:rPr>
      </w:pPr>
      <w:r>
        <w:rPr>
          <w:rFonts w:hint="eastAsia" w:ascii="仿宋" w:hAnsi="仿宋" w:eastAsia="仿宋" w:cs="宋体"/>
        </w:rPr>
        <w:t>&lt;1&gt;</w:t>
      </w:r>
      <w:r>
        <w:rPr>
          <w:rFonts w:hint="eastAsia" w:ascii="仿宋" w:hAnsi="仿宋" w:eastAsia="仿宋" w:cs="宋体"/>
          <w:szCs w:val="24"/>
          <w:lang w:val="zh-TW" w:eastAsia="zh-TW"/>
        </w:rPr>
        <w:t>应支持用户通过移动端应用访问后台的健康百科知识库。</w:t>
      </w:r>
    </w:p>
    <w:p>
      <w:pPr>
        <w:pStyle w:val="13"/>
        <w:pageBreakBefore w:val="0"/>
        <w:kinsoku/>
        <w:overflowPunct/>
        <w:autoSpaceDE/>
        <w:autoSpaceDN/>
        <w:bidi w:val="0"/>
        <w:spacing w:line="440" w:lineRule="exact"/>
        <w:ind w:firstLine="480"/>
        <w:textAlignment w:val="auto"/>
        <w:rPr>
          <w:rFonts w:ascii="仿宋" w:hAnsi="仿宋" w:eastAsia="仿宋" w:cs="宋体"/>
          <w:szCs w:val="24"/>
          <w:lang w:val="zh-TW" w:eastAsia="zh-TW"/>
        </w:rPr>
      </w:pPr>
      <w:r>
        <w:rPr>
          <w:rFonts w:hint="eastAsia" w:ascii="仿宋" w:hAnsi="仿宋" w:eastAsia="仿宋" w:cs="宋体"/>
        </w:rPr>
        <w:t>&lt;2&gt;</w:t>
      </w:r>
      <w:r>
        <w:rPr>
          <w:rFonts w:hint="eastAsia" w:ascii="仿宋" w:hAnsi="仿宋" w:eastAsia="仿宋" w:cs="宋体"/>
          <w:szCs w:val="24"/>
          <w:lang w:val="zh-TW" w:eastAsia="zh-TW"/>
        </w:rPr>
        <w:t>知识库中按不同类型对健康知识进行分类，包括疾病、药品、检验、检查等知识库，分别包含疾病介绍、药品说明、检查检验介绍及注意事项等信息，方便用户查阅，有效提升用户健康保健素养，方便用户诊后用药及做好检查检验前的准备工作。</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lang w:val="zh-TW" w:eastAsia="zh-TW"/>
        </w:rPr>
      </w:pPr>
      <w:r>
        <w:rPr>
          <w:rFonts w:hint="eastAsia" w:ascii="仿宋" w:hAnsi="仿宋" w:eastAsia="仿宋" w:cs="宋体"/>
          <w:sz w:val="24"/>
          <w:szCs w:val="24"/>
        </w:rPr>
        <w:t>6.6</w:t>
      </w:r>
      <w:r>
        <w:rPr>
          <w:rFonts w:hint="eastAsia" w:ascii="仿宋" w:hAnsi="仿宋" w:eastAsia="仿宋" w:cs="宋体"/>
          <w:sz w:val="24"/>
          <w:szCs w:val="24"/>
          <w:lang w:val="zh-TW"/>
        </w:rPr>
        <w:t>电子健康卡</w:t>
      </w:r>
    </w:p>
    <w:p>
      <w:pPr>
        <w:pStyle w:val="13"/>
        <w:pageBreakBefore w:val="0"/>
        <w:kinsoku/>
        <w:overflowPunct/>
        <w:autoSpaceDE/>
        <w:autoSpaceDN/>
        <w:bidi w:val="0"/>
        <w:spacing w:line="440" w:lineRule="exact"/>
        <w:ind w:firstLine="480"/>
        <w:textAlignment w:val="auto"/>
        <w:rPr>
          <w:rFonts w:ascii="仿宋" w:hAnsi="仿宋" w:eastAsia="仿宋" w:cs="宋体"/>
          <w:szCs w:val="24"/>
          <w:lang w:val="zh-TW" w:eastAsia="zh-TW"/>
        </w:rPr>
      </w:pPr>
      <w:r>
        <w:rPr>
          <w:rFonts w:hint="eastAsia" w:ascii="仿宋" w:hAnsi="仿宋" w:eastAsia="仿宋" w:cs="宋体"/>
        </w:rPr>
        <w:t>&lt;1&gt;</w:t>
      </w:r>
      <w:r>
        <w:rPr>
          <w:rFonts w:hint="eastAsia" w:ascii="仿宋" w:hAnsi="仿宋" w:eastAsia="仿宋" w:cs="宋体"/>
          <w:szCs w:val="24"/>
          <w:lang w:val="zh-TW"/>
        </w:rPr>
        <w:t>应支持用户在线申领电子健康卡、完善个人电子健康卡相关信息、并应支持在线使用电子健康卡处理就诊业务。</w:t>
      </w:r>
    </w:p>
    <w:p>
      <w:pPr>
        <w:pStyle w:val="13"/>
        <w:pageBreakBefore w:val="0"/>
        <w:kinsoku/>
        <w:overflowPunct/>
        <w:autoSpaceDE/>
        <w:autoSpaceDN/>
        <w:bidi w:val="0"/>
        <w:spacing w:line="440" w:lineRule="exact"/>
        <w:ind w:firstLine="480"/>
        <w:textAlignment w:val="auto"/>
        <w:rPr>
          <w:rFonts w:ascii="仿宋" w:hAnsi="仿宋" w:eastAsia="仿宋" w:cs="宋体"/>
          <w:szCs w:val="24"/>
          <w:lang w:val="zh-TW" w:eastAsia="zh-TW"/>
        </w:rPr>
      </w:pPr>
      <w:r>
        <w:rPr>
          <w:rFonts w:hint="eastAsia" w:ascii="仿宋" w:hAnsi="仿宋" w:eastAsia="仿宋" w:cs="宋体"/>
        </w:rPr>
        <w:t>&lt;2&gt;</w:t>
      </w:r>
      <w:r>
        <w:rPr>
          <w:rFonts w:hint="eastAsia" w:ascii="仿宋" w:hAnsi="仿宋" w:eastAsia="仿宋" w:cs="宋体"/>
          <w:szCs w:val="24"/>
          <w:lang w:val="zh-TW"/>
        </w:rPr>
        <w:t>电子健康卡为用户在医疗卫生服务活动中身份识别、基础健康信息存储、费用结算和金融服务等应用提供相应支撑。</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6.7就诊人管理</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就诊人管理应支持用户新增、修改、删除就诊人，互联网医院部分服务需要通过实名认证之后才能够体验。</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&lt;2&gt;</w:t>
      </w:r>
      <w:r>
        <w:rPr>
          <w:rFonts w:hint="eastAsia" w:ascii="仿宋" w:hAnsi="仿宋" w:eastAsia="仿宋" w:cs="宋体"/>
          <w:szCs w:val="24"/>
        </w:rPr>
        <w:t>除了用户本人之外，也可以绑定其他就诊人。</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6.8消息管理</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消息管理功能应实现用户查看各类系统消息和业务消息，例如预约挂号、排队叫号、在线支付等服务的操作以及报告出单、费用待支付、余额不足等相关消息的提醒。</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6.9收货地址管理</w:t>
      </w:r>
    </w:p>
    <w:p>
      <w:pPr>
        <w:pStyle w:val="13"/>
        <w:pageBreakBefore w:val="0"/>
        <w:kinsoku/>
        <w:overflowPunct/>
        <w:autoSpaceDE/>
        <w:autoSpaceDN/>
        <w:bidi w:val="0"/>
        <w:spacing w:line="440" w:lineRule="exact"/>
        <w:ind w:firstLine="480"/>
        <w:textAlignment w:val="auto"/>
        <w:rPr>
          <w:rFonts w:hint="eastAsia" w:ascii="仿宋" w:hAnsi="仿宋" w:eastAsia="仿宋" w:cs="宋体"/>
          <w:szCs w:val="24"/>
        </w:rPr>
      </w:pPr>
      <w:r>
        <w:rPr>
          <w:rFonts w:hint="eastAsia" w:ascii="仿宋" w:hAnsi="仿宋" w:eastAsia="仿宋" w:cs="宋体"/>
        </w:rPr>
        <w:t>&lt;1&gt;</w:t>
      </w:r>
      <w:r>
        <w:rPr>
          <w:rFonts w:hint="eastAsia" w:ascii="仿宋" w:hAnsi="仿宋" w:eastAsia="仿宋" w:cs="宋体"/>
          <w:szCs w:val="24"/>
        </w:rPr>
        <w:t>用户可以进行对个人收货地址进行统一的维护并设置默认收货地址。</w:t>
      </w:r>
    </w:p>
    <w:p>
      <w:pPr>
        <w:pStyle w:val="13"/>
        <w:pageBreakBefore w:val="0"/>
        <w:kinsoku/>
        <w:overflowPunct/>
        <w:autoSpaceDE/>
        <w:autoSpaceDN/>
        <w:bidi w:val="0"/>
        <w:spacing w:line="440" w:lineRule="exact"/>
        <w:ind w:firstLine="480"/>
        <w:textAlignment w:val="auto"/>
        <w:outlineLvl w:val="1"/>
        <w:rPr>
          <w:rFonts w:hint="eastAsia" w:ascii="仿宋" w:hAnsi="仿宋" w:eastAsia="仿宋" w:cs="宋体"/>
          <w:b/>
          <w:bCs/>
          <w:kern w:val="2"/>
          <w:sz w:val="24"/>
          <w:szCs w:val="24"/>
          <w:lang w:val="en-US" w:eastAsia="zh-CN" w:bidi="ar-SA"/>
        </w:rPr>
      </w:pPr>
      <w:r>
        <w:rPr>
          <w:rFonts w:hint="eastAsia" w:ascii="仿宋" w:hAnsi="仿宋" w:eastAsia="仿宋" w:cs="宋体"/>
          <w:b/>
          <w:bCs/>
          <w:kern w:val="2"/>
          <w:sz w:val="24"/>
          <w:szCs w:val="24"/>
          <w:lang w:val="en-US" w:eastAsia="zh-CN" w:bidi="ar-SA"/>
        </w:rPr>
        <w:t>6.10 其它功能</w:t>
      </w:r>
    </w:p>
    <w:p>
      <w:pPr>
        <w:pStyle w:val="13"/>
        <w:pageBreakBefore w:val="0"/>
        <w:kinsoku/>
        <w:overflowPunct/>
        <w:autoSpaceDE/>
        <w:autoSpaceDN/>
        <w:bidi w:val="0"/>
        <w:spacing w:line="440" w:lineRule="exact"/>
        <w:ind w:firstLine="480"/>
        <w:textAlignment w:val="auto"/>
        <w:rPr>
          <w:rFonts w:hint="default" w:ascii="仿宋" w:hAnsi="仿宋" w:eastAsia="仿宋" w:cs="宋体"/>
          <w:b/>
          <w:bCs/>
          <w:kern w:val="2"/>
          <w:sz w:val="24"/>
          <w:szCs w:val="24"/>
          <w:lang w:val="en-US" w:eastAsia="zh-CN" w:bidi="ar-SA"/>
        </w:rPr>
      </w:pPr>
      <w:r>
        <w:rPr>
          <w:rFonts w:hint="eastAsia" w:ascii="仿宋" w:hAnsi="仿宋" w:eastAsia="仿宋" w:cs="宋体"/>
        </w:rPr>
        <w:t>&lt;1&gt;</w:t>
      </w:r>
      <w:r>
        <w:rPr>
          <w:rFonts w:hint="eastAsia" w:ascii="仿宋" w:hAnsi="仿宋" w:eastAsia="仿宋" w:cs="宋体"/>
          <w:szCs w:val="24"/>
          <w:lang w:val="en-US" w:eastAsia="zh-CN"/>
        </w:rPr>
        <w:t>健康体检服务（选择相应体检套餐，也可自定义选项）、满意度调查、停车缴费、使用帮助</w:t>
      </w:r>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bookmarkStart w:id="18" w:name="_Toc34294738"/>
      <w:bookmarkStart w:id="19" w:name="_Toc513641089"/>
      <w:bookmarkStart w:id="20" w:name="_Toc1588237455"/>
      <w:bookmarkStart w:id="21" w:name="_Toc510015141"/>
      <w:bookmarkStart w:id="22" w:name="_Toc510015193"/>
      <w:r>
        <w:rPr>
          <w:rFonts w:hint="eastAsia" w:ascii="仿宋" w:hAnsi="仿宋" w:eastAsia="仿宋" w:cs="宋体"/>
        </w:rPr>
        <w:t>【二】医生APP</w:t>
      </w:r>
      <w:bookmarkEnd w:id="18"/>
      <w:bookmarkEnd w:id="19"/>
      <w:bookmarkEnd w:id="20"/>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bookmarkStart w:id="23" w:name="_Toc34294739"/>
      <w:r>
        <w:rPr>
          <w:rFonts w:hint="eastAsia" w:ascii="仿宋" w:hAnsi="仿宋" w:eastAsia="仿宋" w:cs="宋体"/>
        </w:rPr>
        <w:t>（1）患者管理</w:t>
      </w:r>
      <w:bookmarkEnd w:id="23"/>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1.1门诊患者</w:t>
      </w:r>
    </w:p>
    <w:p>
      <w:pPr>
        <w:pStyle w:val="13"/>
        <w:pageBreakBefore w:val="0"/>
        <w:kinsoku/>
        <w:overflowPunct/>
        <w:autoSpaceDE/>
        <w:autoSpaceDN/>
        <w:bidi w:val="0"/>
        <w:spacing w:line="440" w:lineRule="exact"/>
        <w:ind w:firstLine="480"/>
        <w:textAlignment w:val="auto"/>
        <w:rPr>
          <w:rFonts w:hint="default" w:ascii="仿宋" w:hAnsi="仿宋" w:eastAsia="仿宋" w:cs="宋体"/>
          <w:szCs w:val="24"/>
          <w:lang w:val="en-US" w:eastAsia="zh-CN"/>
        </w:rPr>
      </w:pPr>
      <w:r>
        <w:rPr>
          <w:rFonts w:hint="eastAsia" w:ascii="仿宋" w:hAnsi="仿宋" w:eastAsia="仿宋" w:cs="宋体"/>
        </w:rPr>
        <w:t>&lt;1&gt;</w:t>
      </w:r>
      <w:r>
        <w:rPr>
          <w:rFonts w:hint="eastAsia" w:ascii="仿宋" w:hAnsi="仿宋" w:eastAsia="仿宋" w:cs="宋体"/>
          <w:szCs w:val="24"/>
        </w:rPr>
        <w:t>应支持以列表的形式对预约前来门诊就诊以及已就诊的患者进行查询，并对患者的本次及历史就诊信息，例如检查检验报告</w:t>
      </w:r>
      <w:r>
        <w:rPr>
          <w:rFonts w:hint="eastAsia" w:ascii="仿宋" w:hAnsi="仿宋" w:eastAsia="仿宋" w:cs="宋体"/>
          <w:szCs w:val="24"/>
          <w:lang w:eastAsia="zh-CN"/>
        </w:rPr>
        <w:t>（</w:t>
      </w:r>
      <w:r>
        <w:rPr>
          <w:rFonts w:hint="eastAsia" w:ascii="仿宋" w:hAnsi="仿宋" w:eastAsia="仿宋" w:cs="宋体"/>
          <w:szCs w:val="24"/>
          <w:lang w:val="en-US" w:eastAsia="zh-CN"/>
        </w:rPr>
        <w:t>一年内</w:t>
      </w:r>
      <w:r>
        <w:rPr>
          <w:rFonts w:hint="eastAsia" w:ascii="仿宋" w:hAnsi="仿宋" w:eastAsia="仿宋" w:cs="宋体"/>
          <w:szCs w:val="24"/>
          <w:lang w:eastAsia="zh-CN"/>
        </w:rPr>
        <w:t>）</w:t>
      </w:r>
      <w:r>
        <w:rPr>
          <w:rFonts w:hint="eastAsia" w:ascii="仿宋" w:hAnsi="仿宋" w:eastAsia="仿宋" w:cs="宋体"/>
          <w:szCs w:val="24"/>
        </w:rPr>
        <w:t>、以往门诊病历、药品处方、处置记录等信息进行查询。</w:t>
      </w:r>
      <w:r>
        <w:rPr>
          <w:rFonts w:hint="eastAsia" w:ascii="仿宋" w:hAnsi="仿宋" w:eastAsia="仿宋" w:cs="宋体"/>
          <w:szCs w:val="24"/>
          <w:lang w:val="en-US" w:eastAsia="zh-CN"/>
        </w:rPr>
        <w:t xml:space="preserve"> </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1.2住院患者</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应支持以列表的形式对住院患者的医疗信息数据进行查询。包括住院患者的医嘱信息、报告信息、费用信息以及患者病情的危重状态，过敏药物提醒，欠费提醒。</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1.3危急值管理</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能够查询对患者出现的危急值情况及当时医护人员采取的相关处理措施的记录，实时提醒医生患者的危急值。</w:t>
      </w:r>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bookmarkStart w:id="24" w:name="_Toc34294740"/>
      <w:r>
        <w:rPr>
          <w:rFonts w:hint="eastAsia" w:ascii="仿宋" w:hAnsi="仿宋" w:eastAsia="仿宋" w:cs="宋体"/>
        </w:rPr>
        <w:t>（2）办公管理</w:t>
      </w:r>
      <w:bookmarkEnd w:id="24"/>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bookmarkStart w:id="25" w:name="_Toc510015217"/>
      <w:bookmarkStart w:id="26" w:name="_Toc510015216"/>
      <w:r>
        <w:rPr>
          <w:rFonts w:hint="eastAsia" w:ascii="仿宋" w:hAnsi="仿宋" w:eastAsia="仿宋" w:cs="宋体"/>
          <w:sz w:val="24"/>
          <w:szCs w:val="24"/>
        </w:rPr>
        <w:t>2.1院内公告</w:t>
      </w:r>
      <w:bookmarkEnd w:id="25"/>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院内公告功能应实现医生日常工作中通过平台及时获取院内最新的公告信息。如医院资讯、院内通知、信息公告等信息。让医生及时获取院内公告信息的详情、发布时间等信息。</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2.2排班管理</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通过APP查询管理门诊排班情况和互联网诊疗排班情况，有权限的医生可以对自己的互联网诊疗排版进行在线维护。</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2.3抗菌药管理</w:t>
      </w:r>
    </w:p>
    <w:p>
      <w:pPr>
        <w:pStyle w:val="13"/>
        <w:pageBreakBefore w:val="0"/>
        <w:kinsoku/>
        <w:overflowPunct/>
        <w:autoSpaceDE/>
        <w:autoSpaceDN/>
        <w:bidi w:val="0"/>
        <w:spacing w:line="440" w:lineRule="exact"/>
        <w:ind w:firstLine="480"/>
        <w:textAlignment w:val="auto"/>
        <w:rPr>
          <w:rFonts w:ascii="仿宋" w:hAnsi="仿宋" w:eastAsia="仿宋"/>
          <w:szCs w:val="24"/>
        </w:rPr>
      </w:pPr>
      <w:r>
        <w:rPr>
          <w:rFonts w:hint="eastAsia" w:ascii="仿宋" w:hAnsi="仿宋" w:eastAsia="仿宋" w:cs="宋体"/>
        </w:rPr>
        <w:t>&lt;1&gt;</w:t>
      </w:r>
      <w:r>
        <w:rPr>
          <w:rFonts w:hint="eastAsia" w:ascii="仿宋" w:hAnsi="仿宋" w:eastAsia="仿宋" w:cs="宋体"/>
          <w:szCs w:val="24"/>
        </w:rPr>
        <w:t>根据医生权限，应支持医生通过移动端应用发起抗菌药物申请或者对其他医生的药物申请进行审核</w:t>
      </w:r>
      <w:r>
        <w:rPr>
          <w:rFonts w:hint="eastAsia" w:ascii="仿宋" w:hAnsi="仿宋" w:eastAsia="仿宋"/>
          <w:szCs w:val="24"/>
        </w:rPr>
        <w:t>。</w:t>
      </w:r>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bookmarkStart w:id="27" w:name="_Toc20757521"/>
      <w:bookmarkStart w:id="28" w:name="_Toc34294741"/>
      <w:r>
        <w:rPr>
          <w:rFonts w:hint="eastAsia" w:ascii="仿宋" w:hAnsi="仿宋" w:eastAsia="仿宋" w:cs="宋体"/>
        </w:rPr>
        <w:t>（3）互联网诊疗</w:t>
      </w:r>
      <w:bookmarkEnd w:id="27"/>
      <w:bookmarkEnd w:id="28"/>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3.1申请查询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应支持医生通过平台查询自己在线咨询服务的申请信息，以及患者上传的病情描述和图片信息，选择是否接诊。</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&lt;2&gt;</w:t>
      </w:r>
      <w:r>
        <w:rPr>
          <w:rFonts w:hint="eastAsia" w:ascii="仿宋" w:hAnsi="仿宋" w:eastAsia="仿宋" w:cs="宋体"/>
          <w:szCs w:val="24"/>
        </w:rPr>
        <w:t>医生选择接诊之后，即可根据患者申请的不同咨询方式进行线上咨询互动。</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3.2图文咨询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图文咨询服务，能够通过文字、图片、语音形式，与患者进行咨询互动。</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3.3电话咨询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电话咨询服务，能够通过文字、图片、语音及电话的形式，与患者进行咨询互动，电话由医生发起，平台会对双方号码做隐私保护。咨询服务结束之后，需要录入问诊小结。</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3.4视频咨询</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视频咨询服务，能够通过文字、图片、语音及视频通话的形式，与患者进行咨询互动，视频通话申请由医生发起。咨询服务结束之后，需要录入问诊小结。</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3.5云诊室服务</w:t>
      </w:r>
    </w:p>
    <w:p>
      <w:pPr>
        <w:pStyle w:val="13"/>
        <w:pageBreakBefore w:val="0"/>
        <w:kinsoku/>
        <w:overflowPunct/>
        <w:autoSpaceDE/>
        <w:autoSpaceDN/>
        <w:bidi w:val="0"/>
        <w:spacing w:line="440" w:lineRule="exact"/>
        <w:ind w:firstLine="480"/>
        <w:textAlignment w:val="auto"/>
        <w:rPr>
          <w:rFonts w:hint="default" w:ascii="仿宋" w:hAnsi="仿宋" w:eastAsia="仿宋" w:cs="宋体"/>
          <w:szCs w:val="24"/>
          <w:lang w:val="en-US" w:eastAsia="zh-CN"/>
        </w:rPr>
      </w:pPr>
      <w:r>
        <w:rPr>
          <w:rFonts w:hint="eastAsia" w:ascii="仿宋" w:hAnsi="仿宋" w:eastAsia="仿宋" w:cs="宋体"/>
        </w:rPr>
        <w:t>&lt;1&gt;</w:t>
      </w:r>
      <w:r>
        <w:rPr>
          <w:rFonts w:hint="eastAsia" w:ascii="仿宋" w:hAnsi="仿宋" w:eastAsia="仿宋" w:cs="宋体"/>
          <w:szCs w:val="24"/>
        </w:rPr>
        <w:t>查看预约自己云诊室号源的患者，确认接诊后医生与患者进行图文沟通，录入电子病历，开具处方</w:t>
      </w:r>
      <w:r>
        <w:rPr>
          <w:rFonts w:hint="eastAsia" w:ascii="仿宋" w:hAnsi="仿宋" w:eastAsia="仿宋" w:cs="宋体"/>
          <w:szCs w:val="24"/>
          <w:lang w:eastAsia="zh-CN"/>
        </w:rPr>
        <w:t>，</w:t>
      </w:r>
      <w:r>
        <w:rPr>
          <w:rFonts w:hint="eastAsia" w:ascii="仿宋" w:hAnsi="仿宋" w:eastAsia="仿宋" w:cs="宋体"/>
          <w:szCs w:val="24"/>
          <w:lang w:val="en-US" w:eastAsia="zh-CN"/>
        </w:rPr>
        <w:t>并支持专家联合会诊、远程会诊。</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3.6复诊配药</w:t>
      </w:r>
    </w:p>
    <w:p>
      <w:pPr>
        <w:pStyle w:val="14"/>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应实现医生通过APP在线为慢病患者进行复诊续方。</w:t>
      </w:r>
    </w:p>
    <w:p>
      <w:pPr>
        <w:pStyle w:val="14"/>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&lt;2&gt;</w:t>
      </w:r>
      <w:r>
        <w:rPr>
          <w:rFonts w:hint="eastAsia" w:ascii="仿宋" w:hAnsi="仿宋" w:eastAsia="仿宋" w:cs="宋体"/>
          <w:szCs w:val="24"/>
        </w:rPr>
        <w:t>医生收到患者发起的复诊配药申请后，查看病情是否适合进行配药，可在线与患者沟通近期病情，开具处方，经药师审核后，发送电子处方给患者，患者在居民端完成处方费用支付和物流登记。</w:t>
      </w:r>
    </w:p>
    <w:p>
      <w:pPr>
        <w:pStyle w:val="3"/>
        <w:pageBreakBefore w:val="0"/>
        <w:kinsoku/>
        <w:overflowPunct/>
        <w:autoSpaceDE/>
        <w:autoSpaceDN/>
        <w:bidi w:val="0"/>
        <w:spacing w:before="0" w:after="0" w:line="440" w:lineRule="exact"/>
        <w:ind w:left="420" w:leftChars="200"/>
        <w:textAlignment w:val="auto"/>
        <w:outlineLvl w:val="1"/>
        <w:rPr>
          <w:rFonts w:ascii="仿宋" w:hAnsi="仿宋" w:eastAsia="仿宋" w:cs="宋体"/>
          <w:sz w:val="24"/>
          <w:szCs w:val="24"/>
        </w:rPr>
      </w:pPr>
      <w:r>
        <w:rPr>
          <w:rFonts w:hint="eastAsia" w:ascii="仿宋" w:hAnsi="仿宋" w:eastAsia="仿宋" w:cs="宋体"/>
          <w:sz w:val="24"/>
          <w:szCs w:val="24"/>
        </w:rPr>
        <w:t>3.7在线审方</w:t>
      </w:r>
    </w:p>
    <w:p>
      <w:pPr>
        <w:pStyle w:val="14"/>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&lt;1&gt;</w:t>
      </w:r>
      <w:r>
        <w:rPr>
          <w:rFonts w:hint="eastAsia" w:ascii="仿宋" w:hAnsi="仿宋" w:eastAsia="仿宋" w:cs="宋体"/>
          <w:szCs w:val="24"/>
        </w:rPr>
        <w:t>应支持有权限的药师通过移动端应用对处方进行审核，处方只有经药师审核合格后方可生效。</w:t>
      </w:r>
    </w:p>
    <w:p>
      <w:pPr>
        <w:pStyle w:val="12"/>
        <w:pageBreakBefore w:val="0"/>
        <w:numPr>
          <w:ilvl w:val="0"/>
          <w:numId w:val="0"/>
        </w:numPr>
        <w:kinsoku/>
        <w:overflowPunct/>
        <w:autoSpaceDE/>
        <w:autoSpaceDN/>
        <w:bidi w:val="0"/>
        <w:spacing w:line="440" w:lineRule="exact"/>
        <w:ind w:left="420" w:leftChars="200"/>
        <w:textAlignment w:val="auto"/>
        <w:outlineLvl w:val="0"/>
        <w:rPr>
          <w:rFonts w:ascii="仿宋" w:hAnsi="仿宋" w:eastAsia="仿宋" w:cs="宋体"/>
        </w:rPr>
      </w:pPr>
      <w:bookmarkStart w:id="29" w:name="_Toc19866639"/>
      <w:bookmarkStart w:id="30" w:name="_Toc285173975"/>
      <w:bookmarkStart w:id="31" w:name="_Toc34294742"/>
      <w:bookmarkStart w:id="32" w:name="_Toc20757523"/>
      <w:r>
        <w:rPr>
          <w:rFonts w:hint="eastAsia" w:ascii="仿宋" w:hAnsi="仿宋" w:eastAsia="仿宋" w:cs="宋体"/>
        </w:rPr>
        <w:t>【三】云诊室医生端Web</w:t>
      </w:r>
      <w:bookmarkEnd w:id="29"/>
      <w:bookmarkEnd w:id="30"/>
      <w:bookmarkEnd w:id="31"/>
      <w:bookmarkEnd w:id="32"/>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33" w:name="_Toc19866640"/>
      <w:bookmarkStart w:id="34" w:name="_Toc34294743"/>
      <w:bookmarkStart w:id="35" w:name="_Toc517774788"/>
      <w:r>
        <w:rPr>
          <w:rFonts w:hint="eastAsia" w:ascii="仿宋" w:hAnsi="仿宋" w:eastAsia="仿宋" w:cs="宋体"/>
          <w:sz w:val="24"/>
          <w:szCs w:val="24"/>
        </w:rPr>
        <w:t>（1）预约信息查询</w:t>
      </w:r>
      <w:bookmarkEnd w:id="33"/>
      <w:bookmarkEnd w:id="34"/>
      <w:bookmarkEnd w:id="35"/>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平台应支持医生通过Web应用对自己的云诊室预约列表进行查询，实现医生及时了解自己的工作任务以及对应患者的具体健康信息，对工作进行规划安排。</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36" w:name="_Toc517774789"/>
      <w:bookmarkStart w:id="37" w:name="_Toc19866641"/>
      <w:bookmarkStart w:id="38" w:name="_Toc34294744"/>
      <w:r>
        <w:rPr>
          <w:rFonts w:hint="eastAsia" w:ascii="仿宋" w:hAnsi="仿宋" w:eastAsia="仿宋" w:cs="宋体"/>
          <w:sz w:val="24"/>
          <w:szCs w:val="24"/>
        </w:rPr>
        <w:t>（2）发起问诊</w:t>
      </w:r>
      <w:bookmarkEnd w:id="36"/>
      <w:bookmarkEnd w:id="37"/>
      <w:bookmarkEnd w:id="38"/>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2.1</w:t>
      </w:r>
      <w:r>
        <w:rPr>
          <w:rFonts w:hint="eastAsia" w:ascii="仿宋" w:hAnsi="仿宋" w:eastAsia="仿宋" w:cs="宋体"/>
          <w:szCs w:val="24"/>
        </w:rPr>
        <w:t>针对医生，可在到达预约时间向居民发起视频请求，居民通过后即可应实现在线的视频诊疗；如果居民未及时响应，医生可将该居民的排队序号根据设置的规则安排一个新的排队序号。</w:t>
      </w:r>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rPr>
        <w:t>2.2</w:t>
      </w:r>
      <w:r>
        <w:rPr>
          <w:rFonts w:hint="eastAsia" w:ascii="仿宋" w:hAnsi="仿宋" w:eastAsia="仿宋" w:cs="宋体"/>
          <w:szCs w:val="24"/>
        </w:rPr>
        <w:t>问诊过程中，医生可以根据居民健康情况给予健康指导意见或建议居民来院接受进一步检查。</w:t>
      </w:r>
    </w:p>
    <w:p>
      <w:pPr>
        <w:pStyle w:val="13"/>
        <w:pageBreakBefore w:val="0"/>
        <w:kinsoku/>
        <w:overflowPunct/>
        <w:autoSpaceDE/>
        <w:autoSpaceDN/>
        <w:bidi w:val="0"/>
        <w:spacing w:line="440" w:lineRule="exact"/>
        <w:ind w:firstLine="480"/>
        <w:textAlignment w:val="auto"/>
        <w:outlineLvl w:val="1"/>
        <w:rPr>
          <w:rFonts w:ascii="仿宋" w:hAnsi="仿宋" w:eastAsia="仿宋" w:cs="宋体"/>
          <w:szCs w:val="24"/>
        </w:rPr>
      </w:pPr>
      <w:r>
        <w:rPr>
          <w:rFonts w:hint="eastAsia" w:ascii="仿宋" w:hAnsi="仿宋" w:eastAsia="仿宋" w:cs="宋体"/>
          <w:szCs w:val="24"/>
        </w:rPr>
        <w:t>2.3诊疗过程中的视频、语音等文件将进行储存备份。</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39" w:name="_Toc34294745"/>
      <w:r>
        <w:rPr>
          <w:rFonts w:hint="eastAsia" w:ascii="仿宋" w:hAnsi="仿宋" w:eastAsia="仿宋" w:cs="宋体"/>
          <w:sz w:val="24"/>
          <w:szCs w:val="24"/>
        </w:rPr>
        <w:t>（3）书写病历</w:t>
      </w:r>
      <w:bookmarkEnd w:id="39"/>
    </w:p>
    <w:p>
      <w:pPr>
        <w:pageBreakBefore w:val="0"/>
        <w:kinsoku/>
        <w:overflowPunct/>
        <w:autoSpaceDE/>
        <w:autoSpaceDN/>
        <w:bidi w:val="0"/>
        <w:spacing w:line="440" w:lineRule="exact"/>
        <w:ind w:firstLine="480" w:firstLineChars="200"/>
        <w:textAlignment w:val="auto"/>
        <w:rPr>
          <w:rFonts w:ascii="仿宋" w:hAnsi="仿宋" w:eastAsia="仿宋" w:cs="宋体"/>
          <w:sz w:val="24"/>
        </w:rPr>
      </w:pPr>
      <w:r>
        <w:rPr>
          <w:rFonts w:hint="eastAsia" w:ascii="仿宋" w:hAnsi="仿宋" w:eastAsia="仿宋" w:cs="宋体"/>
          <w:sz w:val="24"/>
        </w:rPr>
        <w:t>视频问诊结束后，医生在线书写就诊病历，提交后回传至院内病历管理系统。</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40" w:name="_Toc34294746"/>
      <w:r>
        <w:rPr>
          <w:rFonts w:hint="eastAsia" w:ascii="仿宋" w:hAnsi="仿宋" w:eastAsia="仿宋" w:cs="宋体"/>
          <w:sz w:val="24"/>
          <w:szCs w:val="24"/>
        </w:rPr>
        <w:t>（4）处方录入</w:t>
      </w:r>
      <w:bookmarkEnd w:id="40"/>
    </w:p>
    <w:p>
      <w:pPr>
        <w:pageBreakBefore w:val="0"/>
        <w:kinsoku/>
        <w:overflowPunct/>
        <w:autoSpaceDE/>
        <w:autoSpaceDN/>
        <w:bidi w:val="0"/>
        <w:spacing w:line="440" w:lineRule="exact"/>
        <w:ind w:firstLine="480" w:firstLineChars="200"/>
        <w:textAlignment w:val="auto"/>
        <w:rPr>
          <w:rFonts w:ascii="仿宋" w:hAnsi="仿宋" w:eastAsia="仿宋" w:cs="宋体"/>
          <w:sz w:val="24"/>
        </w:rPr>
      </w:pPr>
      <w:r>
        <w:rPr>
          <w:rFonts w:hint="eastAsia" w:ascii="仿宋" w:hAnsi="仿宋" w:eastAsia="仿宋" w:cs="宋体"/>
          <w:sz w:val="24"/>
        </w:rPr>
        <w:t>视频问诊结束后，医生可在线给患者下达医嘱，医嘱应支持多种类型，包含药品处方、检查检验申请，如为药品处方，经药师审核后，发送电子处方给患者。</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41" w:name="_Toc34294747"/>
      <w:r>
        <w:rPr>
          <w:rFonts w:hint="eastAsia" w:ascii="仿宋" w:hAnsi="仿宋" w:eastAsia="仿宋" w:cs="宋体"/>
          <w:sz w:val="24"/>
          <w:szCs w:val="24"/>
        </w:rPr>
        <w:t>（5）历史记录查询</w:t>
      </w:r>
      <w:bookmarkEnd w:id="41"/>
    </w:p>
    <w:p>
      <w:pPr>
        <w:pStyle w:val="14"/>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医生可以查看历史接诊患者的基本信息，病情描述及就诊记录。</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r>
        <w:rPr>
          <w:rFonts w:hint="eastAsia" w:ascii="仿宋" w:hAnsi="仿宋" w:eastAsia="仿宋" w:cs="宋体"/>
          <w:sz w:val="24"/>
          <w:szCs w:val="24"/>
        </w:rPr>
        <w:t>（6）随访管理</w:t>
      </w:r>
    </w:p>
    <w:p>
      <w:pPr>
        <w:pStyle w:val="14"/>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shd w:val="clear" w:color="auto" w:fill="FFFFFF"/>
        </w:rPr>
        <w:t>门诊患者、在院患者、出院患者，进行随访，随访人员在随访的整个过程内容记录摘要以及患者及家属对医护人员的意见及建议；医护人员服务态度、医院就诊环境、服务标示等方面进行督察，提出整改措施。</w:t>
      </w:r>
      <w:bookmarkEnd w:id="21"/>
      <w:bookmarkEnd w:id="22"/>
      <w:bookmarkEnd w:id="26"/>
    </w:p>
    <w:p>
      <w:pPr>
        <w:pStyle w:val="12"/>
        <w:pageBreakBefore w:val="0"/>
        <w:numPr>
          <w:ilvl w:val="0"/>
          <w:numId w:val="0"/>
        </w:numPr>
        <w:kinsoku/>
        <w:overflowPunct/>
        <w:autoSpaceDE/>
        <w:autoSpaceDN/>
        <w:bidi w:val="0"/>
        <w:spacing w:line="440" w:lineRule="exact"/>
        <w:ind w:left="420" w:leftChars="200"/>
        <w:textAlignment w:val="auto"/>
        <w:rPr>
          <w:rFonts w:ascii="仿宋" w:hAnsi="仿宋" w:eastAsia="仿宋" w:cs="宋体"/>
        </w:rPr>
      </w:pPr>
      <w:bookmarkStart w:id="42" w:name="_Toc1882981368"/>
      <w:bookmarkStart w:id="43" w:name="_Toc510015150"/>
      <w:bookmarkStart w:id="44" w:name="_Toc34294748"/>
      <w:r>
        <w:rPr>
          <w:rFonts w:hint="eastAsia" w:ascii="仿宋" w:hAnsi="仿宋" w:eastAsia="仿宋" w:cs="宋体"/>
        </w:rPr>
        <w:t>【四】互联网医院管理后台</w:t>
      </w:r>
      <w:bookmarkEnd w:id="42"/>
      <w:bookmarkEnd w:id="43"/>
      <w:bookmarkEnd w:id="44"/>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45" w:name="_Toc20076911"/>
      <w:bookmarkStart w:id="46" w:name="_Toc34294749"/>
      <w:bookmarkStart w:id="47" w:name="_Toc517774792"/>
      <w:r>
        <w:rPr>
          <w:rFonts w:hint="eastAsia" w:ascii="仿宋" w:hAnsi="仿宋" w:eastAsia="仿宋" w:cs="宋体"/>
          <w:sz w:val="24"/>
          <w:szCs w:val="24"/>
        </w:rPr>
        <w:t>（1）系统配置</w:t>
      </w:r>
      <w:bookmarkEnd w:id="45"/>
      <w:bookmarkEnd w:id="46"/>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应实现平台模块管理、角色管理、后台账户管理、APP更新、数据字典、消息管理、系统参数、文案配置、功能配置等方面的系统配置功能。</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48" w:name="_Toc34294750"/>
      <w:bookmarkStart w:id="49" w:name="_Toc20076912"/>
      <w:r>
        <w:rPr>
          <w:rFonts w:hint="eastAsia" w:ascii="仿宋" w:hAnsi="仿宋" w:eastAsia="仿宋" w:cs="宋体"/>
          <w:sz w:val="24"/>
          <w:szCs w:val="24"/>
        </w:rPr>
        <w:t>（2）权限管理</w:t>
      </w:r>
      <w:bookmarkEnd w:id="48"/>
      <w:bookmarkEnd w:id="49"/>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应实现用户权限管理及平台日志查询功能。</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50" w:name="_Toc34294751"/>
      <w:bookmarkStart w:id="51" w:name="_Toc20076913"/>
      <w:r>
        <w:rPr>
          <w:rFonts w:hint="eastAsia" w:ascii="仿宋" w:hAnsi="仿宋" w:eastAsia="仿宋" w:cs="宋体"/>
          <w:sz w:val="24"/>
          <w:szCs w:val="24"/>
        </w:rPr>
        <w:t>（3）机构管理</w:t>
      </w:r>
      <w:bookmarkEnd w:id="50"/>
      <w:bookmarkEnd w:id="51"/>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应实现平台入驻医院、科室、及各科室医生的信息维护管理认证工作。</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52" w:name="_Toc34294752"/>
      <w:bookmarkStart w:id="53" w:name="_Toc20076914"/>
      <w:r>
        <w:rPr>
          <w:rFonts w:hint="eastAsia" w:ascii="仿宋" w:hAnsi="仿宋" w:eastAsia="仿宋" w:cs="宋体"/>
          <w:sz w:val="24"/>
          <w:szCs w:val="24"/>
        </w:rPr>
        <w:t>（4）业务管理</w:t>
      </w:r>
      <w:bookmarkEnd w:id="52"/>
      <w:bookmarkEnd w:id="53"/>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应实现平台支付账户、APP Banner、启动页等信息的维护配置功能。</w:t>
      </w:r>
      <w:bookmarkEnd w:id="47"/>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54" w:name="_Toc517774800"/>
      <w:bookmarkStart w:id="55" w:name="_Toc34294753"/>
      <w:bookmarkStart w:id="56" w:name="_Toc20076915"/>
      <w:bookmarkStart w:id="57" w:name="_Toc517774795"/>
      <w:r>
        <w:rPr>
          <w:rFonts w:hint="eastAsia" w:ascii="仿宋" w:hAnsi="仿宋" w:eastAsia="仿宋" w:cs="宋体"/>
          <w:sz w:val="24"/>
          <w:szCs w:val="24"/>
        </w:rPr>
        <w:t>（5）统计</w:t>
      </w:r>
      <w:bookmarkEnd w:id="54"/>
      <w:r>
        <w:rPr>
          <w:rFonts w:hint="eastAsia" w:ascii="仿宋" w:hAnsi="仿宋" w:eastAsia="仿宋" w:cs="宋体"/>
          <w:sz w:val="24"/>
          <w:szCs w:val="24"/>
        </w:rPr>
        <w:t>查询</w:t>
      </w:r>
      <w:bookmarkEnd w:id="55"/>
      <w:bookmarkEnd w:id="56"/>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应支持相关管理者以图表的形式查看新增用户、活跃用户等互联网社区医院运营信息，为相应决策的提出提供数据应用支持。</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58" w:name="_Toc20076916"/>
      <w:bookmarkStart w:id="59" w:name="_Toc34294754"/>
      <w:r>
        <w:rPr>
          <w:rFonts w:hint="eastAsia" w:ascii="仿宋" w:hAnsi="仿宋" w:eastAsia="仿宋" w:cs="宋体"/>
          <w:sz w:val="24"/>
          <w:szCs w:val="24"/>
        </w:rPr>
        <w:t>（6）排班管理</w:t>
      </w:r>
      <w:bookmarkEnd w:id="58"/>
      <w:bookmarkEnd w:id="59"/>
    </w:p>
    <w:p>
      <w:pPr>
        <w:pStyle w:val="13"/>
        <w:pageBreakBefore w:val="0"/>
        <w:kinsoku/>
        <w:overflowPunct/>
        <w:autoSpaceDE/>
        <w:autoSpaceDN/>
        <w:bidi w:val="0"/>
        <w:spacing w:line="440" w:lineRule="exact"/>
        <w:ind w:firstLine="480"/>
        <w:textAlignment w:val="auto"/>
        <w:rPr>
          <w:rFonts w:ascii="仿宋" w:hAnsi="仿宋" w:eastAsia="仿宋" w:cs="宋体"/>
          <w:szCs w:val="24"/>
        </w:rPr>
      </w:pPr>
      <w:r>
        <w:rPr>
          <w:rFonts w:hint="eastAsia" w:ascii="仿宋" w:hAnsi="仿宋" w:eastAsia="仿宋" w:cs="宋体"/>
          <w:szCs w:val="24"/>
        </w:rPr>
        <w:t>应实现对平台医生的在线咨询排班维护及查询。</w:t>
      </w:r>
      <w:bookmarkEnd w:id="57"/>
    </w:p>
    <w:p>
      <w:pPr>
        <w:pStyle w:val="12"/>
        <w:pageBreakBefore w:val="0"/>
        <w:numPr>
          <w:ilvl w:val="0"/>
          <w:numId w:val="0"/>
        </w:numPr>
        <w:kinsoku/>
        <w:overflowPunct/>
        <w:autoSpaceDE/>
        <w:autoSpaceDN/>
        <w:bidi w:val="0"/>
        <w:spacing w:line="440" w:lineRule="exact"/>
        <w:ind w:left="420" w:leftChars="200"/>
        <w:textAlignment w:val="auto"/>
        <w:rPr>
          <w:rFonts w:ascii="仿宋" w:hAnsi="仿宋" w:eastAsia="仿宋" w:cs="宋体"/>
        </w:rPr>
      </w:pPr>
      <w:bookmarkStart w:id="60" w:name="_Toc1948829784"/>
      <w:bookmarkStart w:id="61" w:name="_Toc514005779"/>
      <w:bookmarkStart w:id="62" w:name="_Toc34294755"/>
      <w:r>
        <w:rPr>
          <w:rFonts w:hint="eastAsia" w:ascii="仿宋" w:hAnsi="仿宋" w:eastAsia="仿宋" w:cs="宋体"/>
        </w:rPr>
        <w:t>【五】聚合支付平台</w:t>
      </w:r>
      <w:bookmarkEnd w:id="60"/>
      <w:bookmarkEnd w:id="61"/>
      <w:bookmarkEnd w:id="62"/>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63" w:name="_Toc488410007"/>
      <w:r>
        <w:rPr>
          <w:rFonts w:hint="eastAsia" w:ascii="仿宋" w:hAnsi="仿宋" w:eastAsia="仿宋" w:cs="宋体"/>
          <w:sz w:val="24"/>
          <w:szCs w:val="24"/>
        </w:rPr>
        <w:t>（1）接入医院管理</w:t>
      </w:r>
      <w:bookmarkEnd w:id="63"/>
    </w:p>
    <w:p>
      <w:pPr>
        <w:pageBreakBefore w:val="0"/>
        <w:kinsoku/>
        <w:overflowPunct/>
        <w:autoSpaceDE/>
        <w:autoSpaceDN/>
        <w:bidi w:val="0"/>
        <w:spacing w:line="440" w:lineRule="exact"/>
        <w:ind w:firstLine="480" w:firstLineChars="200"/>
        <w:textAlignment w:val="auto"/>
        <w:rPr>
          <w:rFonts w:ascii="仿宋" w:hAnsi="仿宋" w:eastAsia="仿宋" w:cs="宋体"/>
          <w:sz w:val="24"/>
          <w:lang w:val="zh-CN"/>
        </w:rPr>
      </w:pPr>
      <w:r>
        <w:rPr>
          <w:rFonts w:hint="eastAsia" w:ascii="仿宋" w:hAnsi="仿宋" w:eastAsia="仿宋" w:cs="宋体"/>
          <w:sz w:val="24"/>
          <w:lang w:val="zh-CN"/>
        </w:rPr>
        <w:t>登记每家接入聚合支付平台的医院信息，并为每家医院制作数字安全证书，配置接入完全及数据传输安全机制。</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64" w:name="_Toc488410008"/>
      <w:r>
        <w:rPr>
          <w:rFonts w:hint="eastAsia" w:ascii="仿宋" w:hAnsi="仿宋" w:eastAsia="仿宋" w:cs="宋体"/>
          <w:sz w:val="24"/>
          <w:szCs w:val="24"/>
        </w:rPr>
        <w:t>（2）交易处理</w:t>
      </w:r>
      <w:bookmarkEnd w:id="64"/>
    </w:p>
    <w:p>
      <w:pPr>
        <w:pageBreakBefore w:val="0"/>
        <w:kinsoku/>
        <w:overflowPunct/>
        <w:autoSpaceDE/>
        <w:autoSpaceDN/>
        <w:bidi w:val="0"/>
        <w:spacing w:line="440" w:lineRule="exact"/>
        <w:ind w:firstLine="480" w:firstLineChars="200"/>
        <w:textAlignment w:val="auto"/>
        <w:rPr>
          <w:rFonts w:ascii="仿宋" w:hAnsi="仿宋" w:eastAsia="仿宋" w:cs="宋体"/>
          <w:sz w:val="24"/>
          <w:lang w:val="zh-CN"/>
        </w:rPr>
      </w:pPr>
      <w:r>
        <w:rPr>
          <w:rFonts w:hint="eastAsia" w:ascii="仿宋" w:hAnsi="仿宋" w:eastAsia="仿宋" w:cs="宋体"/>
          <w:sz w:val="24"/>
          <w:lang w:val="zh-CN"/>
        </w:rPr>
        <w:t>处理所有通过支付平台的交易请求指令，包括支付请求、查询结果请求，交易退款请求指令等，并且形成待对账流水</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65" w:name="_Toc488410009"/>
      <w:r>
        <w:rPr>
          <w:rFonts w:hint="eastAsia" w:ascii="仿宋" w:hAnsi="仿宋" w:eastAsia="仿宋" w:cs="宋体"/>
          <w:sz w:val="24"/>
          <w:szCs w:val="24"/>
        </w:rPr>
        <w:t>（3）渠道管理</w:t>
      </w:r>
      <w:bookmarkEnd w:id="65"/>
    </w:p>
    <w:p>
      <w:pPr>
        <w:pageBreakBefore w:val="0"/>
        <w:kinsoku/>
        <w:overflowPunct/>
        <w:autoSpaceDE/>
        <w:autoSpaceDN/>
        <w:bidi w:val="0"/>
        <w:spacing w:line="440" w:lineRule="exact"/>
        <w:ind w:firstLine="480" w:firstLineChars="200"/>
        <w:textAlignment w:val="auto"/>
        <w:rPr>
          <w:rFonts w:ascii="仿宋" w:hAnsi="仿宋" w:eastAsia="仿宋" w:cs="宋体"/>
          <w:sz w:val="24"/>
        </w:rPr>
      </w:pPr>
      <w:r>
        <w:rPr>
          <w:rFonts w:hint="eastAsia" w:ascii="仿宋" w:hAnsi="仿宋" w:eastAsia="仿宋" w:cs="宋体"/>
          <w:sz w:val="24"/>
          <w:lang w:val="zh-CN"/>
        </w:rPr>
        <w:t>管理聚合支付平台已对接开通的支付渠道，例如支付宝、微信、银联在线等渠道。</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66" w:name="_Toc488410010"/>
      <w:r>
        <w:rPr>
          <w:rFonts w:hint="eastAsia" w:ascii="仿宋" w:hAnsi="仿宋" w:eastAsia="仿宋" w:cs="宋体"/>
          <w:sz w:val="24"/>
          <w:szCs w:val="24"/>
        </w:rPr>
        <w:t>（4）渠道对账</w:t>
      </w:r>
      <w:bookmarkEnd w:id="66"/>
    </w:p>
    <w:p>
      <w:pPr>
        <w:pageBreakBefore w:val="0"/>
        <w:kinsoku/>
        <w:overflowPunct/>
        <w:autoSpaceDE/>
        <w:autoSpaceDN/>
        <w:bidi w:val="0"/>
        <w:spacing w:line="440" w:lineRule="exact"/>
        <w:ind w:firstLine="480" w:firstLineChars="200"/>
        <w:textAlignment w:val="auto"/>
        <w:rPr>
          <w:rFonts w:ascii="仿宋" w:hAnsi="仿宋" w:eastAsia="仿宋" w:cs="宋体"/>
          <w:sz w:val="24"/>
          <w:lang w:val="zh-CN"/>
        </w:rPr>
      </w:pPr>
      <w:r>
        <w:rPr>
          <w:rFonts w:hint="eastAsia" w:ascii="仿宋" w:hAnsi="仿宋" w:eastAsia="仿宋" w:cs="宋体"/>
          <w:sz w:val="24"/>
          <w:lang w:val="zh-CN"/>
        </w:rPr>
        <w:t>聚合支付云平台每日自动向支付宝、微信、银联渠道发起下载对账清单，进行对账。并对单边张进行相应的调账处理。</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67" w:name="_Toc488410011"/>
      <w:r>
        <w:rPr>
          <w:rFonts w:hint="eastAsia" w:ascii="仿宋" w:hAnsi="仿宋" w:eastAsia="仿宋" w:cs="宋体"/>
          <w:sz w:val="24"/>
          <w:szCs w:val="24"/>
        </w:rPr>
        <w:t>（5）医院端Web应用</w:t>
      </w:r>
      <w:bookmarkEnd w:id="67"/>
    </w:p>
    <w:p>
      <w:pPr>
        <w:pageBreakBefore w:val="0"/>
        <w:kinsoku/>
        <w:overflowPunct/>
        <w:autoSpaceDE/>
        <w:autoSpaceDN/>
        <w:bidi w:val="0"/>
        <w:spacing w:line="440" w:lineRule="exact"/>
        <w:ind w:firstLine="480" w:firstLineChars="200"/>
        <w:textAlignment w:val="auto"/>
        <w:rPr>
          <w:rFonts w:ascii="仿宋" w:hAnsi="仿宋" w:eastAsia="仿宋" w:cs="宋体"/>
          <w:sz w:val="24"/>
          <w:lang w:val="zh-CN"/>
        </w:rPr>
      </w:pPr>
      <w:r>
        <w:rPr>
          <w:rFonts w:hint="eastAsia" w:ascii="仿宋" w:hAnsi="仿宋" w:eastAsia="仿宋" w:cs="宋体"/>
          <w:sz w:val="24"/>
          <w:lang w:val="zh-CN"/>
        </w:rPr>
        <w:t>为接入医院提供Web端界面，查询所有需渠道交易流水、excel导出，以及相关统计分析。</w:t>
      </w:r>
    </w:p>
    <w:p>
      <w:pPr>
        <w:pStyle w:val="3"/>
        <w:pageBreakBefore w:val="0"/>
        <w:kinsoku/>
        <w:overflowPunct/>
        <w:autoSpaceDE/>
        <w:autoSpaceDN/>
        <w:bidi w:val="0"/>
        <w:spacing w:before="0" w:after="0" w:line="440" w:lineRule="exact"/>
        <w:ind w:left="420" w:leftChars="200"/>
        <w:textAlignment w:val="auto"/>
        <w:outlineLvl w:val="0"/>
        <w:rPr>
          <w:rFonts w:ascii="仿宋" w:hAnsi="仿宋" w:eastAsia="仿宋" w:cs="宋体"/>
          <w:sz w:val="24"/>
          <w:szCs w:val="24"/>
        </w:rPr>
      </w:pPr>
      <w:bookmarkStart w:id="68" w:name="_Toc488410012"/>
      <w:r>
        <w:rPr>
          <w:rFonts w:hint="eastAsia" w:ascii="仿宋" w:hAnsi="仿宋" w:eastAsia="仿宋" w:cs="宋体"/>
          <w:sz w:val="24"/>
          <w:szCs w:val="24"/>
        </w:rPr>
        <w:t>（6）SDK中间件</w:t>
      </w:r>
      <w:bookmarkEnd w:id="68"/>
    </w:p>
    <w:p>
      <w:pPr>
        <w:pageBreakBefore w:val="0"/>
        <w:kinsoku/>
        <w:overflowPunct/>
        <w:autoSpaceDE/>
        <w:autoSpaceDN/>
        <w:bidi w:val="0"/>
        <w:spacing w:line="440" w:lineRule="exact"/>
        <w:ind w:firstLine="480" w:firstLineChars="200"/>
        <w:textAlignment w:val="auto"/>
        <w:rPr>
          <w:rFonts w:ascii="仿宋" w:hAnsi="仿宋" w:eastAsia="仿宋" w:cs="宋体"/>
          <w:sz w:val="24"/>
          <w:lang w:val="zh-CN"/>
        </w:rPr>
      </w:pPr>
      <w:r>
        <w:rPr>
          <w:rFonts w:hint="eastAsia" w:ascii="仿宋" w:hAnsi="仿宋" w:eastAsia="仿宋" w:cs="宋体"/>
          <w:sz w:val="24"/>
          <w:lang w:val="zh-CN"/>
        </w:rPr>
        <w:t>统一封装支付宝、微信、银联卡3大主要支付移渠道的移动应用支付中间件，包括IOS苹果版和安卓版。支付平台统一渠道入网。</w:t>
      </w:r>
    </w:p>
    <w:p>
      <w:pPr>
        <w:pStyle w:val="3"/>
        <w:pageBreakBefore w:val="0"/>
        <w:widowControl w:val="0"/>
        <w:kinsoku/>
        <w:wordWrap/>
        <w:overflowPunct/>
        <w:topLinePunct w:val="0"/>
        <w:autoSpaceDE/>
        <w:autoSpaceDN/>
        <w:bidi w:val="0"/>
        <w:adjustRightInd/>
        <w:snapToGrid/>
        <w:spacing w:before="0" w:after="0" w:line="440" w:lineRule="exact"/>
        <w:ind w:left="420" w:leftChars="200"/>
        <w:textAlignment w:val="auto"/>
        <w:outlineLvl w:val="0"/>
        <w:rPr>
          <w:rFonts w:ascii="仿宋" w:hAnsi="仿宋" w:eastAsia="仿宋" w:cs="宋体"/>
          <w:sz w:val="24"/>
          <w:szCs w:val="24"/>
        </w:rPr>
      </w:pPr>
      <w:bookmarkStart w:id="69" w:name="_Toc488410013"/>
      <w:r>
        <w:rPr>
          <w:rFonts w:hint="eastAsia" w:ascii="仿宋" w:hAnsi="仿宋" w:eastAsia="仿宋" w:cs="宋体"/>
          <w:sz w:val="24"/>
          <w:szCs w:val="24"/>
        </w:rPr>
        <w:t>（7）互联网网关</w:t>
      </w:r>
      <w:bookmarkEnd w:id="69"/>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前置网关模块是支付云平台的对外暴露在公网的功能模块，是平台软件系统级别的一道安全屏障。管理移动应用和互联网应用准入登记、接入授权功能块。输出相关接口和接入安全要求。</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宋体"/>
          <w:sz w:val="24"/>
          <w:szCs w:val="24"/>
          <w:lang w:eastAsia="zh-CN"/>
        </w:rPr>
      </w:pPr>
      <w:r>
        <w:rPr>
          <w:rFonts w:hint="eastAsia" w:ascii="仿宋" w:hAnsi="仿宋" w:eastAsia="仿宋" w:cs="宋体"/>
          <w:b/>
          <w:bCs/>
          <w:sz w:val="24"/>
          <w:szCs w:val="24"/>
        </w:rPr>
        <w:t>【</w:t>
      </w:r>
      <w:r>
        <w:rPr>
          <w:rFonts w:hint="eastAsia" w:ascii="仿宋" w:hAnsi="仿宋" w:eastAsia="仿宋" w:cs="宋体"/>
          <w:b/>
          <w:bCs/>
          <w:sz w:val="24"/>
          <w:szCs w:val="24"/>
          <w:lang w:eastAsia="zh-CN"/>
        </w:rPr>
        <w:t>六</w:t>
      </w:r>
      <w:r>
        <w:rPr>
          <w:rFonts w:hint="eastAsia" w:ascii="仿宋" w:hAnsi="仿宋" w:eastAsia="仿宋" w:cs="宋体"/>
          <w:b/>
          <w:bCs/>
          <w:sz w:val="24"/>
          <w:szCs w:val="24"/>
        </w:rPr>
        <w:t>】</w:t>
      </w:r>
      <w:r>
        <w:rPr>
          <w:rFonts w:hint="eastAsia" w:ascii="仿宋" w:hAnsi="仿宋" w:eastAsia="仿宋" w:cs="宋体"/>
          <w:b/>
          <w:bCs/>
          <w:sz w:val="24"/>
          <w:szCs w:val="24"/>
          <w:lang w:eastAsia="zh-CN"/>
        </w:rPr>
        <w:t>短信服务</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宋体"/>
          <w:sz w:val="24"/>
          <w:szCs w:val="24"/>
          <w:lang w:val="en-US" w:eastAsia="zh-CN"/>
        </w:rPr>
      </w:pPr>
      <w:r>
        <w:rPr>
          <w:rFonts w:hint="eastAsia" w:ascii="仿宋" w:hAnsi="仿宋" w:eastAsia="仿宋" w:cs="宋体"/>
          <w:sz w:val="24"/>
          <w:szCs w:val="24"/>
          <w:lang w:eastAsia="zh-CN"/>
        </w:rPr>
        <w:t>服务期内每年提供不得低于</w:t>
      </w:r>
      <w:r>
        <w:rPr>
          <w:rFonts w:hint="eastAsia" w:ascii="仿宋" w:hAnsi="仿宋" w:eastAsia="仿宋" w:cs="宋体"/>
          <w:sz w:val="24"/>
          <w:szCs w:val="24"/>
          <w:lang w:val="en-US" w:eastAsia="zh-CN"/>
        </w:rPr>
        <w:t>30万条短信包。</w:t>
      </w:r>
    </w:p>
    <w:p>
      <w:pPr>
        <w:numPr>
          <w:ilvl w:val="0"/>
          <w:numId w:val="0"/>
        </w:numPr>
        <w:rPr>
          <w:rFonts w:hint="default" w:ascii="仿宋" w:hAnsi="仿宋" w:eastAsia="仿宋" w:cs="宋体"/>
          <w:b/>
          <w:bCs w:val="0"/>
          <w:sz w:val="24"/>
          <w:szCs w:val="24"/>
          <w:lang w:val="en-US" w:eastAsia="zh-CN"/>
        </w:rPr>
      </w:pPr>
      <w:r>
        <w:rPr>
          <w:rFonts w:hint="eastAsia" w:ascii="仿宋" w:hAnsi="仿宋" w:eastAsia="仿宋" w:cs="宋体"/>
          <w:b/>
          <w:bCs w:val="0"/>
          <w:sz w:val="24"/>
          <w:szCs w:val="24"/>
          <w:lang w:val="zh-CN"/>
        </w:rPr>
        <w:t>二、安全支撑</w:t>
      </w:r>
    </w:p>
    <w:tbl>
      <w:tblPr>
        <w:tblStyle w:val="10"/>
        <w:tblW w:w="4930" w:type="pct"/>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
        <w:gridCol w:w="409"/>
        <w:gridCol w:w="7"/>
        <w:gridCol w:w="678"/>
        <w:gridCol w:w="7"/>
        <w:gridCol w:w="548"/>
        <w:gridCol w:w="692"/>
        <w:gridCol w:w="5726"/>
        <w:gridCol w:w="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6" w:type="pct"/>
          <w:wAfter w:w="0" w:type="auto"/>
          <w:trHeight w:val="624" w:hRule="atLeast"/>
        </w:trPr>
        <w:tc>
          <w:tcPr>
            <w:tcW w:w="253" w:type="pct"/>
            <w:gridSpan w:val="2"/>
            <w:noWrap w:val="0"/>
            <w:vAlign w:val="center"/>
          </w:tcPr>
          <w:p>
            <w:pPr>
              <w:pStyle w:val="17"/>
              <w:spacing w:before="20"/>
              <w:jc w:val="center"/>
              <w:rPr>
                <w:sz w:val="24"/>
                <w:szCs w:val="24"/>
              </w:rPr>
            </w:pPr>
            <w:r>
              <w:rPr>
                <w:w w:val="99"/>
                <w:sz w:val="24"/>
                <w:szCs w:val="24"/>
              </w:rPr>
              <w:t>序号</w:t>
            </w:r>
          </w:p>
        </w:tc>
        <w:tc>
          <w:tcPr>
            <w:tcW w:w="418" w:type="pct"/>
            <w:gridSpan w:val="2"/>
            <w:noWrap w:val="0"/>
            <w:vAlign w:val="center"/>
          </w:tcPr>
          <w:p>
            <w:pPr>
              <w:pStyle w:val="17"/>
              <w:spacing w:before="20"/>
              <w:ind w:right="139"/>
              <w:jc w:val="center"/>
              <w:rPr>
                <w:sz w:val="24"/>
                <w:szCs w:val="24"/>
              </w:rPr>
            </w:pPr>
            <w:r>
              <w:rPr>
                <w:sz w:val="24"/>
                <w:szCs w:val="24"/>
              </w:rPr>
              <w:t>货物名</w:t>
            </w:r>
            <w:r>
              <w:rPr>
                <w:w w:val="99"/>
                <w:sz w:val="24"/>
                <w:szCs w:val="24"/>
              </w:rPr>
              <w:t>称</w:t>
            </w:r>
          </w:p>
        </w:tc>
        <w:tc>
          <w:tcPr>
            <w:tcW w:w="756" w:type="pct"/>
            <w:gridSpan w:val="2"/>
            <w:noWrap w:val="0"/>
            <w:vAlign w:val="center"/>
          </w:tcPr>
          <w:p>
            <w:pPr>
              <w:pStyle w:val="17"/>
              <w:spacing w:before="43"/>
              <w:jc w:val="center"/>
              <w:rPr>
                <w:rFonts w:hint="eastAsia" w:eastAsia="仿宋"/>
                <w:w w:val="99"/>
                <w:sz w:val="24"/>
                <w:szCs w:val="24"/>
                <w:lang w:val="en-US" w:eastAsia="zh-CN"/>
              </w:rPr>
            </w:pPr>
            <w:r>
              <w:rPr>
                <w:rFonts w:hint="eastAsia"/>
                <w:w w:val="99"/>
                <w:sz w:val="24"/>
                <w:szCs w:val="24"/>
                <w:lang w:val="en-US" w:eastAsia="zh-CN"/>
              </w:rPr>
              <w:t>数量</w:t>
            </w:r>
          </w:p>
        </w:tc>
        <w:tc>
          <w:tcPr>
            <w:tcW w:w="3564" w:type="pct"/>
            <w:gridSpan w:val="2"/>
            <w:noWrap w:val="0"/>
            <w:vAlign w:val="center"/>
          </w:tcPr>
          <w:p>
            <w:pPr>
              <w:pStyle w:val="17"/>
              <w:spacing w:before="176"/>
              <w:ind w:right="3169"/>
              <w:jc w:val="center"/>
              <w:rPr>
                <w:sz w:val="24"/>
                <w:szCs w:val="24"/>
              </w:rPr>
            </w:pPr>
            <w:r>
              <w:rPr>
                <w:sz w:val="24"/>
                <w:szCs w:val="24"/>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Before w:w="0" w:type="auto"/>
          <w:wAfter w:w="75" w:type="pct"/>
          <w:trHeight w:val="13787" w:hRule="atLeast"/>
        </w:trPr>
        <w:tc>
          <w:tcPr>
            <w:tcW w:w="255" w:type="pct"/>
            <w:gridSpan w:val="2"/>
            <w:noWrap w:val="0"/>
            <w:vAlign w:val="center"/>
          </w:tcPr>
          <w:p>
            <w:pPr>
              <w:pStyle w:val="17"/>
              <w:spacing w:before="20"/>
              <w:ind w:left="147" w:right="139"/>
              <w:jc w:val="center"/>
              <w:rPr>
                <w:sz w:val="24"/>
                <w:szCs w:val="24"/>
              </w:rPr>
            </w:pPr>
          </w:p>
          <w:p>
            <w:pPr>
              <w:pStyle w:val="17"/>
              <w:spacing w:before="20"/>
              <w:ind w:left="147" w:right="139"/>
              <w:jc w:val="center"/>
              <w:rPr>
                <w:sz w:val="24"/>
                <w:szCs w:val="24"/>
              </w:rPr>
            </w:pPr>
            <w:r>
              <w:rPr>
                <w:sz w:val="24"/>
                <w:szCs w:val="24"/>
              </w:rPr>
              <w:t>1</w:t>
            </w:r>
          </w:p>
        </w:tc>
        <w:tc>
          <w:tcPr>
            <w:tcW w:w="418" w:type="pct"/>
            <w:gridSpan w:val="2"/>
            <w:noWrap w:val="0"/>
            <w:vAlign w:val="center"/>
          </w:tcPr>
          <w:p>
            <w:pPr>
              <w:pStyle w:val="17"/>
              <w:spacing w:before="20"/>
              <w:ind w:left="147" w:right="139"/>
              <w:jc w:val="center"/>
              <w:rPr>
                <w:sz w:val="24"/>
                <w:szCs w:val="24"/>
              </w:rPr>
            </w:pPr>
            <w:r>
              <w:rPr>
                <w:rFonts w:hint="eastAsia"/>
                <w:sz w:val="24"/>
                <w:szCs w:val="24"/>
              </w:rPr>
              <w:t>web应用防火墙</w:t>
            </w:r>
          </w:p>
        </w:tc>
        <w:tc>
          <w:tcPr>
            <w:tcW w:w="338" w:type="pct"/>
            <w:gridSpan w:val="2"/>
            <w:noWrap w:val="0"/>
            <w:vAlign w:val="center"/>
          </w:tcPr>
          <w:p>
            <w:pPr>
              <w:pStyle w:val="17"/>
              <w:spacing w:before="20"/>
              <w:ind w:left="147" w:right="139"/>
              <w:jc w:val="center"/>
              <w:rPr>
                <w:rFonts w:hint="default" w:eastAsia="仿宋"/>
                <w:sz w:val="24"/>
                <w:szCs w:val="24"/>
                <w:lang w:val="en-US" w:eastAsia="zh-CN"/>
              </w:rPr>
            </w:pPr>
            <w:r>
              <w:rPr>
                <w:rFonts w:hint="eastAsia"/>
                <w:sz w:val="24"/>
                <w:szCs w:val="24"/>
                <w:lang w:val="en-US" w:eastAsia="zh-CN"/>
              </w:rPr>
              <w:t>1台</w:t>
            </w:r>
          </w:p>
        </w:tc>
        <w:tc>
          <w:tcPr>
            <w:tcW w:w="3912" w:type="pct"/>
            <w:gridSpan w:val="2"/>
            <w:noWrap w:val="0"/>
            <w:vAlign w:val="top"/>
          </w:tcPr>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1、标准X86架构，三层吞吐量≥6Gbps，并发连接数≥180W，配置≥6个千兆电口，≥4个千兆光口；为防止设备关键信息泄露，设备禁止配置显示器等显示设备;提供不少于三年的硬件质保、软件升级、WEB应用识别库、IPS特征库、热门威胁库、实时漏洞分析识别库和URL&amp;应用识别库定期更新升级服务。</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2、支持语义引擎用于检测Web攻击，能针对不同类型的Web攻击如命令注入攻击防护等，单独选择开启或关闭语义引擎检测。（提供产品功能截图并加盖投标人公章）</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3、支持识别HTTP异常，包含HTTP方法过滤、HTTP头部字段Referer、User-Agent等注入检测、Host检测、URL溢出检测、POST实体溢出检测、HTTP头部溢</w:t>
            </w:r>
            <w:bookmarkStart w:id="71" w:name="_GoBack"/>
            <w:bookmarkEnd w:id="71"/>
            <w:r>
              <w:rPr>
                <w:rFonts w:hint="eastAsia" w:ascii="仿宋" w:hAnsi="仿宋" w:eastAsia="仿宋" w:cs="宋体"/>
                <w:sz w:val="24"/>
                <w:lang w:val="zh-CN"/>
              </w:rPr>
              <w:t>出检测、range字段防护、multipart头部字段异常检测。</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4、支持超过6200种防护规则。其中Web应用防护规则超过4900种，Web应用漏洞攻击防护规则超过1300种。（提供产品功能截图并加盖投标人公章）</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5、支持防护SQL注入、XSS攻击、网页木马、网站扫描、Webshell、跨站请求伪造（CSRF）、系统命令注入、文件包含攻击、目录遍历攻击、信息泄露攻击、Web漏洞攻击等。</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6、支持Cookie攻击防护，支持检测到篡改时将Cookie替换为*，支持自定义需要防护的Cookie属性范围，包括防护所有Cookie属性、防护指定Cookie属性、不防护指定Cookie属性。</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7、产品原生支持BOT防护功能，可过滤机器人自动化流量，非联动其他组件或产品，并支持用户自定义URL保护范围和保护阈值。（提供产品功能截图并加盖投标人公章）</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8、支持自定义语义引擎白名单功能，支持通过规则、URL参数、IP地址、Webshell上传防护、XXE、SQL、PHP反序列化、PHP代码注入、命令注入、XSS、后门扫描方式精细化排除。（提供产品功能截图并加盖投标人公章）</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9、支持参数防护，支持主动防护，学习访问HTTP的请求参数，总结出参数的路径、变量名、变量类型、长度范围、支持自定义参数防护。</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10、</w:t>
            </w:r>
            <w:bookmarkStart w:id="70" w:name="_Hlk3982970"/>
            <w:r>
              <w:rPr>
                <w:rFonts w:hint="eastAsia" w:ascii="仿宋" w:hAnsi="仿宋" w:eastAsia="仿宋" w:cs="宋体"/>
                <w:sz w:val="24"/>
                <w:lang w:val="zh-CN"/>
              </w:rPr>
              <w:t>支持业务模型学习监督功能，通过智能分析引擎对业务流量进行分析学习，建立用户业务特征模型，解决因WEB应用中因代码不规范和安全检测功能冲突导致的业务误判问题。</w:t>
            </w:r>
            <w:bookmarkEnd w:id="70"/>
            <w:r>
              <w:rPr>
                <w:rFonts w:hint="eastAsia" w:ascii="仿宋" w:hAnsi="仿宋" w:eastAsia="仿宋" w:cs="宋体"/>
                <w:sz w:val="24"/>
                <w:lang w:val="zh-CN"/>
              </w:rPr>
              <w:t>（提供产品功能截图并加盖投标人公章）</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sz w:val="24"/>
                <w:lang w:val="zh-CN"/>
              </w:rPr>
            </w:pPr>
            <w:r>
              <w:rPr>
                <w:rFonts w:hint="eastAsia" w:ascii="仿宋" w:hAnsi="仿宋" w:eastAsia="仿宋" w:cs="宋体"/>
                <w:sz w:val="24"/>
                <w:lang w:val="zh-CN"/>
              </w:rPr>
              <w:t>11、支持通过被动扫描功能，业务系统进行黑链检测、Webshell检测、漏洞风险检测、配置风险检测、弱口令账户检测。</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ascii="仿宋" w:hAnsi="仿宋" w:eastAsia="仿宋" w:cs="宋体"/>
                <w:sz w:val="24"/>
                <w:lang w:val="zh-CN"/>
              </w:rPr>
              <w:t>12、支持数据泄密防护，支持敏感信息自定义命中次数统计方式，支持自定义文件下载类型过滤；支持检测到敏感数据泄露时短信告警，支持自定义数据泄密规则库。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 w:type="pct"/>
          <w:wAfter w:w="75" w:type="pct"/>
          <w:trHeight w:val="935" w:hRule="atLeast"/>
        </w:trPr>
        <w:tc>
          <w:tcPr>
            <w:tcW w:w="253" w:type="pct"/>
            <w:gridSpan w:val="2"/>
            <w:noWrap w:val="0"/>
            <w:vAlign w:val="center"/>
          </w:tcPr>
          <w:p>
            <w:pPr>
              <w:pStyle w:val="17"/>
              <w:spacing w:before="20"/>
              <w:ind w:left="147" w:right="139"/>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2</w:t>
            </w:r>
          </w:p>
        </w:tc>
        <w:tc>
          <w:tcPr>
            <w:tcW w:w="418" w:type="pct"/>
            <w:gridSpan w:val="2"/>
            <w:noWrap w:val="0"/>
            <w:vAlign w:val="center"/>
          </w:tcPr>
          <w:p>
            <w:pPr>
              <w:pStyle w:val="17"/>
              <w:spacing w:before="20"/>
              <w:ind w:left="147" w:right="139"/>
              <w:jc w:val="cente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日志审计系统</w:t>
            </w:r>
          </w:p>
        </w:tc>
        <w:tc>
          <w:tcPr>
            <w:tcW w:w="756" w:type="pct"/>
            <w:gridSpan w:val="2"/>
            <w:noWrap w:val="0"/>
            <w:vAlign w:val="center"/>
          </w:tcPr>
          <w:p>
            <w:pPr>
              <w:pStyle w:val="17"/>
              <w:spacing w:before="20"/>
              <w:ind w:left="147" w:right="139"/>
              <w:jc w:val="cente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en-US" w:eastAsia="zh-CN" w:bidi="ar-SA"/>
              </w:rPr>
              <w:t>1台</w:t>
            </w:r>
          </w:p>
        </w:tc>
        <w:tc>
          <w:tcPr>
            <w:tcW w:w="3489" w:type="pct"/>
            <w:noWrap w:val="0"/>
            <w:vAlign w:val="top"/>
          </w:tcPr>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1、内置≥50个主机审计许可证书，内存≥16G，配置≥6个千兆电口，≥2万兆光口SFP+；为防止设备关键信息泄露，设备禁止配置显示器等显示设备；提供不少于三年的产品质保和软件升级服务。</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2、支持主动、被动相结合的数据采集方式，支持通过Agent采集日志数据，支持通过syslog、SNMP Trap、JDBC、WMI、webservice、FTP、文件\文件夹读取、Kafka(截图证明)等多种方式完成日志收集。</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3、支持拓扑管理，能够基于拓扑图的资产相关数据信息快速查看资产评分、安全事件分布、告警分布等，支持通过拓扑下钻查看对应资产的关联事件、审计事件、日志数量。</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4、内置大量日志处理模型，自动解析主流网络设备、安全设备和中间件的日志数据，标准化自动识别系统类型至少达到200种。</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5、支持通过正则、分隔符、json、xml的可视方式进行自定义规则解析，支持对解析结果字段的新增、合并、映射。（提供产品功能截图并加盖投标人公章）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6、支持对每个日志源设置过滤条件规则，自动过滤无用日志，满足根据实际业务需求减少采集对象发送到核心服务器的安全事件数，减少对网络带宽和数据库存储空间的占用。（提供产品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7、支持对单个/多个日志源批量转发，支持定时转发，可通过syslog和kafka方式转发到第三方平台，并且支持转发原始日志和已解析日志的两种日志（提供产品功能截图并加盖投标人公章）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8、支持自定义过滤条件检索，支持对模糊ip、多个ip、ip地址段、应用、协议、MAC地址等其他字段精准检索，至少支持AND、OR、NOT三种运算符；</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9、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提供产品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10、支持TLS加密方式进行日志传输，支持日志传输状态、最近同步时间进行监控，可统计每个日志源的今日传输量和传输总量。（提供产品功能截图并加盖投标人公章）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11、支持解码小工具，按照不同的解码方式解码成不同的目标内容，编码格式包括base64、Unicode、GBK、HEX、UTF-8等。</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12、支持单条事件进行展开，显示事件详细信息和事件原始信息，支持事件详情中任意字段作为查询条件无限制进行二次检索分析。</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13、支持网站攻击、漏洞利用、C&amp;C通信、暴力破解、拒绝服务、主机脆弱性、主机异常、恶意软件、账号异常、权限异常、侦查探测等内置关联分析规则，内置关联分析规则数量达到350条以上，支持自定义关联分析规则</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14、日志进行归一化操作后，对日志等级进行映射，根据不同日志源统计不同等级下的日志数量。</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15、支持个性化定制，支持全系统更换logo与系统名称，支持一键恢复默认。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 w:type="pct"/>
          <w:wAfter w:w="75" w:type="pct"/>
          <w:trHeight w:val="935" w:hRule="atLeast"/>
        </w:trPr>
        <w:tc>
          <w:tcPr>
            <w:tcW w:w="253" w:type="pct"/>
            <w:gridSpan w:val="2"/>
            <w:noWrap w:val="0"/>
            <w:vAlign w:val="center"/>
          </w:tcPr>
          <w:p>
            <w:pPr>
              <w:pStyle w:val="17"/>
              <w:spacing w:before="20"/>
              <w:ind w:left="147" w:right="139"/>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3</w:t>
            </w:r>
          </w:p>
        </w:tc>
        <w:tc>
          <w:tcPr>
            <w:tcW w:w="418" w:type="pct"/>
            <w:gridSpan w:val="2"/>
            <w:noWrap w:val="0"/>
            <w:vAlign w:val="center"/>
          </w:tcPr>
          <w:p>
            <w:pPr>
              <w:pStyle w:val="17"/>
              <w:spacing w:before="20"/>
              <w:ind w:left="147" w:right="139"/>
              <w:jc w:val="cente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数据库审计系统</w:t>
            </w:r>
          </w:p>
        </w:tc>
        <w:tc>
          <w:tcPr>
            <w:tcW w:w="756" w:type="pct"/>
            <w:gridSpan w:val="2"/>
            <w:noWrap w:val="0"/>
            <w:vAlign w:val="center"/>
          </w:tcPr>
          <w:p>
            <w:pPr>
              <w:pStyle w:val="17"/>
              <w:spacing w:before="20"/>
              <w:ind w:left="147" w:right="139"/>
              <w:jc w:val="cente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en-US" w:eastAsia="zh-CN" w:bidi="ar-SA"/>
              </w:rPr>
              <w:t>1台</w:t>
            </w:r>
          </w:p>
        </w:tc>
        <w:tc>
          <w:tcPr>
            <w:tcW w:w="3489" w:type="pct"/>
            <w:noWrap w:val="0"/>
            <w:vAlign w:val="top"/>
          </w:tcPr>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吞吐量≥2Gbps，SQL处理性能≥30000条SQL/s，日志检索性能≥500000条/秒。支持数据库实例个数≥30个，配置≥6千兆电口，≥2万兆光口SFP。为防止设备关键信息泄露，设备禁止配置显示器等显示设备；提供不少于三年的硬件质保和软件升级服务。</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2、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3、可以对SQL语句进行安全检测，并识别当前的SQL操作是否有暴库、撞库等严重性安全问题，如果命中了安全风险规则，那么可根据动作进行阻断、告警、记录等操作，可提示管理员作出相应的防御措施。</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4、要求为一个完整的软硬件一体化产品；无需用户另行提供服务器、操作系统、数据库、防火墙软件、及用户手动升级系统补丁。</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5、支持主流数据库Oracle、SQL-Server、DB2、MySQL、Informix、Sybase、Postgresql、Cache、MongDB，K-DB、达梦、人大金仓、南大通用；</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6、内置大量SQL安全规则，包括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7、深度解码数据库网络传输协议，完整记录用户数据库会话细节，包括发生时间、源IP、源端口、源MAC、目的IP、目的端口、数据库用户、数据库类型、操作类型、SQL语句、SQL模版、客户端程序名、响应码、影响行数、返回行数、SQL预计响应时间。</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8、支持精细化日志秒级查询，通过SQL串模式抽取保障磁盘IO的读写性能；分离式存储SQL语句保障数据审计速度快（提供功能截图并加盖投标人公章）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9、支持以时间、源IP、客户端程序、业务系统、数据库用户、数据库名、操作类型、表名、返回行数、影响行数、响应时长、响应码、策略、规则、风险级别、SQL模版为条件的数据库风险查询。（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10、支持自定义数据库安全策略，可根据业务需要自定义各种场景的安全规则，对于违规的数据库访问可进行实时警告和阻断。</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11、为保障数据库安全运行，系统管理角色需三员分离，提供系统管理员、安全管理员和审计管理员不同身份，支持账号到期锁定，支持登录错误次数锁定，支持密码复杂度设置。</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12、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13、支持以时间、源IP、客户端程序、业务系统、数据库用户、数据库名、操作类型、表名、返回行数、影响行数、响应时长、响应码、策略、规则、风险级别、SQL模版为条件的数据库风险查询。</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14、提供管理员权限设置和分权管理，提供三权分立功能，系统可以对使用人员的操作进行审计记录，可以由审计员进行查询，具有自身安全审计功能；</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15、通过自定义报表拖拽功能可以随意拖拽用户预期的统计报表，帮助用户提升通过高级选项筛选报表的可读性，更方便达到预期效果。</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16、支持吞吐量分析，包括SQL语句吞吐量排行、SQL语句吞吐量趋势、SQL操作类型吞吐量排行、SQL操作类型吞吐量趋势、数据库用户吞吐量排行、数据库用户吞吐量趋势、业务主机吞吐量排行、业务主机吞吐量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 w:type="pct"/>
          <w:wAfter w:w="75" w:type="pct"/>
          <w:trHeight w:val="91" w:hRule="atLeast"/>
        </w:trPr>
        <w:tc>
          <w:tcPr>
            <w:tcW w:w="253" w:type="pct"/>
            <w:gridSpan w:val="2"/>
            <w:noWrap w:val="0"/>
            <w:vAlign w:val="center"/>
          </w:tcPr>
          <w:p>
            <w:pPr>
              <w:pStyle w:val="17"/>
              <w:spacing w:before="20"/>
              <w:ind w:left="147" w:right="139"/>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4</w:t>
            </w:r>
          </w:p>
        </w:tc>
        <w:tc>
          <w:tcPr>
            <w:tcW w:w="418" w:type="pct"/>
            <w:gridSpan w:val="2"/>
            <w:noWrap w:val="0"/>
            <w:vAlign w:val="center"/>
          </w:tcPr>
          <w:p>
            <w:pPr>
              <w:pStyle w:val="17"/>
              <w:spacing w:before="20"/>
              <w:ind w:left="147" w:right="139"/>
              <w:jc w:val="cente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堡垒机</w:t>
            </w:r>
          </w:p>
        </w:tc>
        <w:tc>
          <w:tcPr>
            <w:tcW w:w="756" w:type="pct"/>
            <w:gridSpan w:val="2"/>
            <w:noWrap w:val="0"/>
            <w:vAlign w:val="center"/>
          </w:tcPr>
          <w:p>
            <w:pPr>
              <w:pStyle w:val="17"/>
              <w:spacing w:before="20"/>
              <w:ind w:left="147" w:right="139"/>
              <w:jc w:val="cente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en-US" w:eastAsia="zh-CN" w:bidi="ar-SA"/>
              </w:rPr>
              <w:t>1台</w:t>
            </w:r>
          </w:p>
        </w:tc>
        <w:tc>
          <w:tcPr>
            <w:tcW w:w="3489" w:type="pct"/>
            <w:noWrap w:val="0"/>
            <w:vAlign w:val="top"/>
          </w:tcPr>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软硬一体化机架式设备，至少提供6个千兆电口，可管理资源数≥50个，支持licence扩容，提供运维人员单点登录、用户权限细粒度授权及访问控制、运维过程审计等功能，并满足等级保护三级建设要求；为防止设备关键信息泄露，设备禁止配置显示器等显示设备；提供不少于三年的硬件质保和软件升级服务。</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2、支持通过动作流配置提供广泛的应用接入支持，无论被接入的资源如何设计登录动作，通过动作流配置都可以实现单点登陆和审计接入（提供功能截图并加盖投标人公章）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3、支持批量导入、导出用户信息；支持用户手动添加、删除、编辑、设定角色、单独指定登陆认证方式、设定用户有效期。</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4、用户登陆认证方式支持静态口令认证、手机动态口令认证、Usbkey（数字证书）认证、AD域认证、Radius认证等认证方式；并支持各种认证方式和静态口令组合认证。</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5、支持从windows AD域抽取用户账号作为主账号，支持一次性抽取和周期性抽取两种方式。</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6、内置三员角色的同时支持角色灵活自定义，可根据用户实际的管理特性或特殊的安全管理组织架构，划分管理角色的管理范畴。</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7、支持密码文件备份功能，密码文件需密文保存，密码包及解密密钥分别发送给不同管理员保存，并使用专用的解密器才可打开。</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8、支持RDP安全模式（RDP、NLA、TLS、ANY）设置，以适应RDP-Tcp属性中的所有功能配置，包括加密级别为客户端兼容、低、高、符合FIPS标准等加密级别（提供功能截图并加盖投标人公章）。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9、支持跨部门的交叉授权操作，部门资源管理员可将本部门资源授权给其他部门用户，实现资源临时/长期跨部门访问。</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10、支持在授权基础上自定义访问审批流程，可设置一级或多级审批人，每级审批可指定通过投票数，需逐级审批通过才可最终发起运维操作（提供功能截图并加盖投标人公章）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11、支持自定义紧急运维流程开启或关闭，紧急运维开启时，运维人员可通过紧急运维流程直接访问目标设备，系统记录为紧急运维工单，审批人员可在事后查看或审批（提供功能截图并加盖投标人公章）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12、支持定期变更目标设备真实口令，支持自定义口令变更周期和口令强度。口令变更方式至少支持手动指定固定口令、通过密码表生成口令、依照设备挂载的口令策略生成随机口令、依照密码策略生成同一口令等方式。</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13、支持web页面直接发起运维，无需安装任何控件，并同时支持调用SecureCRT、Xshell、Putty、WinSCP、FileZilla、RDP等客户端工具实现单点登陆，不改变运维人员操作习惯（提供功能截图并加盖投标人公章）。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14、全面支持IPV6，设备自身可以配置IPV6地址供客户端访问，并且支持目标设备配置IPV6地址实现单点登陆和审计（提供功能截图并加盖投标人公章）。</w:t>
            </w:r>
          </w:p>
          <w:p>
            <w:p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15、全面支持Windows、linux、国产麒麟系统、Android、IOS、Mac OS等客户端，实现跨终端适应性BYOD（Bring Your Own Device）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6" w:type="pct"/>
          <w:wAfter w:w="75" w:type="pct"/>
          <w:trHeight w:val="935" w:hRule="atLeast"/>
        </w:trPr>
        <w:tc>
          <w:tcPr>
            <w:tcW w:w="253" w:type="pct"/>
            <w:gridSpan w:val="2"/>
            <w:noWrap w:val="0"/>
            <w:vAlign w:val="center"/>
          </w:tcPr>
          <w:p>
            <w:pPr>
              <w:pStyle w:val="17"/>
              <w:spacing w:before="20"/>
              <w:ind w:left="147" w:right="139"/>
              <w:jc w:val="center"/>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5</w:t>
            </w:r>
          </w:p>
        </w:tc>
        <w:tc>
          <w:tcPr>
            <w:tcW w:w="418" w:type="pct"/>
            <w:gridSpan w:val="2"/>
            <w:noWrap w:val="0"/>
            <w:vAlign w:val="center"/>
          </w:tcPr>
          <w:p>
            <w:pPr>
              <w:pStyle w:val="17"/>
              <w:spacing w:before="20"/>
              <w:ind w:left="147" w:right="139"/>
              <w:jc w:val="center"/>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网站云防护</w:t>
            </w:r>
          </w:p>
        </w:tc>
        <w:tc>
          <w:tcPr>
            <w:tcW w:w="756" w:type="pct"/>
            <w:gridSpan w:val="2"/>
            <w:noWrap w:val="0"/>
            <w:vAlign w:val="center"/>
          </w:tcPr>
          <w:p>
            <w:pPr>
              <w:pStyle w:val="17"/>
              <w:spacing w:before="20"/>
              <w:ind w:left="147" w:right="139"/>
              <w:jc w:val="center"/>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1套</w:t>
            </w:r>
          </w:p>
        </w:tc>
        <w:tc>
          <w:tcPr>
            <w:tcW w:w="3489" w:type="pct"/>
            <w:noWrap w:val="0"/>
            <w:vAlign w:val="top"/>
          </w:tcPr>
          <w:p>
            <w:pPr>
              <w:numPr>
                <w:ilvl w:val="0"/>
                <w:numId w:val="4"/>
              </w:num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提供≥10个同一备案主体域名≥1年的网站安全云防护。</w:t>
            </w:r>
          </w:p>
          <w:p>
            <w:pPr>
              <w:numPr>
                <w:ilvl w:val="0"/>
                <w:numId w:val="4"/>
              </w:num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支持Web攻击防护、网站缓存加速、≥10Gbps的DDoS攻击共享型防护、≥30Gbps高防DNS、≥2千QPS正常业务请求并发；</w:t>
            </w:r>
          </w:p>
          <w:p>
            <w:pPr>
              <w:numPr>
                <w:ilvl w:val="0"/>
                <w:numId w:val="4"/>
              </w:num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提供≥6TB正常业务流量、1≥0GB的Web访问日志下载流量、≥10个非标准端口；</w:t>
            </w:r>
          </w:p>
          <w:p>
            <w:pPr>
              <w:numPr>
                <w:ilvl w:val="0"/>
                <w:numId w:val="4"/>
              </w:numPr>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提供≥1年服务：产品远程技术支持（包含防护接入、防护过程中产品问题支持），7x24小时电话支持，以及防护周期内的防护引擎、防护规则免费升级。</w:t>
            </w:r>
          </w:p>
        </w:tc>
      </w:tr>
    </w:tbl>
    <w:p>
      <w:pPr>
        <w:numPr>
          <w:ilvl w:val="0"/>
          <w:numId w:val="0"/>
        </w:numPr>
        <w:rPr>
          <w:rFonts w:hint="default" w:ascii="仿宋" w:hAnsi="仿宋" w:eastAsia="仿宋" w:cs="宋体"/>
          <w:kern w:val="2"/>
          <w:sz w:val="24"/>
          <w:szCs w:val="24"/>
          <w:lang w:val="en-US" w:eastAsia="zh-CN" w:bidi="ar-SA"/>
        </w:rPr>
      </w:pPr>
    </w:p>
    <w:p>
      <w:pPr>
        <w:numPr>
          <w:ilvl w:val="0"/>
          <w:numId w:val="0"/>
        </w:numPr>
        <w:rPr>
          <w:rFonts w:hint="eastAsia" w:ascii="仿宋" w:hAnsi="仿宋" w:eastAsia="仿宋" w:cs="宋体"/>
          <w:b/>
          <w:bCs w:val="0"/>
          <w:sz w:val="24"/>
          <w:szCs w:val="24"/>
          <w:lang w:val="zh-CN"/>
        </w:rPr>
      </w:pPr>
      <w:r>
        <w:rPr>
          <w:rFonts w:hint="eastAsia" w:ascii="仿宋" w:hAnsi="仿宋" w:eastAsia="仿宋" w:cs="宋体"/>
          <w:b/>
          <w:bCs w:val="0"/>
          <w:sz w:val="24"/>
          <w:szCs w:val="24"/>
          <w:lang w:val="zh-CN"/>
        </w:rPr>
        <w:t>三、接口</w:t>
      </w:r>
    </w:p>
    <w:p>
      <w:pPr>
        <w:numPr>
          <w:ilvl w:val="0"/>
          <w:numId w:val="0"/>
        </w:numPr>
        <w:ind w:firstLine="482" w:firstLineChars="200"/>
        <w:rPr>
          <w:rFonts w:hint="default" w:ascii="仿宋" w:hAnsi="仿宋" w:eastAsia="仿宋" w:cs="宋体"/>
          <w:b/>
          <w:bCs w:val="0"/>
          <w:sz w:val="24"/>
          <w:szCs w:val="24"/>
          <w:lang w:val="en-US" w:eastAsia="zh-CN"/>
        </w:rPr>
      </w:pPr>
      <w:r>
        <w:rPr>
          <w:rFonts w:hint="eastAsia" w:ascii="仿宋" w:hAnsi="仿宋" w:eastAsia="仿宋" w:cs="宋体"/>
          <w:b/>
          <w:bCs w:val="0"/>
          <w:sz w:val="24"/>
          <w:szCs w:val="24"/>
          <w:lang w:val="zh-CN"/>
        </w:rPr>
        <w:t>包含所有接口。如</w:t>
      </w:r>
      <w:r>
        <w:rPr>
          <w:rFonts w:hint="eastAsia" w:ascii="仿宋" w:hAnsi="仿宋" w:eastAsia="仿宋" w:cs="宋体"/>
          <w:b/>
          <w:bCs w:val="0"/>
          <w:sz w:val="24"/>
          <w:szCs w:val="24"/>
          <w:lang w:val="en-US" w:eastAsia="zh-CN"/>
        </w:rPr>
        <w:t>HIS、LIS、PACS系统等。</w:t>
      </w:r>
    </w:p>
    <w:p>
      <w:pPr>
        <w:numPr>
          <w:ilvl w:val="0"/>
          <w:numId w:val="0"/>
        </w:numPr>
        <w:rPr>
          <w:rFonts w:hint="eastAsia" w:ascii="仿宋" w:hAnsi="仿宋" w:eastAsia="仿宋" w:cs="宋体"/>
          <w:b/>
          <w:bCs w:val="0"/>
          <w:sz w:val="24"/>
          <w:szCs w:val="24"/>
          <w:lang w:val="zh-CN"/>
        </w:rPr>
      </w:pPr>
      <w:r>
        <w:rPr>
          <w:rFonts w:hint="eastAsia" w:ascii="仿宋" w:hAnsi="仿宋" w:eastAsia="仿宋" w:cs="宋体"/>
          <w:b/>
          <w:bCs w:val="0"/>
          <w:sz w:val="24"/>
          <w:szCs w:val="24"/>
          <w:lang w:val="zh-CN"/>
        </w:rPr>
        <w:t>四、网站迁移</w:t>
      </w:r>
    </w:p>
    <w:p>
      <w:pPr>
        <w:numPr>
          <w:ilvl w:val="0"/>
          <w:numId w:val="0"/>
        </w:numPr>
        <w:ind w:firstLine="482" w:firstLineChars="200"/>
        <w:rPr>
          <w:rFonts w:hint="eastAsia" w:ascii="仿宋" w:hAnsi="仿宋" w:eastAsia="仿宋" w:cs="宋体"/>
          <w:b/>
          <w:bCs w:val="0"/>
          <w:sz w:val="24"/>
          <w:szCs w:val="24"/>
          <w:lang w:val="zh-CN"/>
        </w:rPr>
      </w:pPr>
      <w:r>
        <w:rPr>
          <w:rFonts w:hint="eastAsia" w:ascii="仿宋" w:hAnsi="仿宋" w:eastAsia="仿宋" w:cs="宋体"/>
          <w:b/>
          <w:bCs w:val="0"/>
          <w:sz w:val="24"/>
          <w:szCs w:val="24"/>
          <w:lang w:val="zh-CN"/>
        </w:rPr>
        <w:t>配合甲方将网站从机构网迁移回本地机房（含后台管理转移）。</w:t>
      </w:r>
    </w:p>
    <w:p>
      <w:pPr>
        <w:numPr>
          <w:ilvl w:val="0"/>
          <w:numId w:val="0"/>
        </w:numPr>
        <w:rPr>
          <w:rFonts w:hint="eastAsia" w:ascii="仿宋" w:hAnsi="仿宋" w:eastAsia="仿宋" w:cs="宋体"/>
          <w:b/>
          <w:bCs w:val="0"/>
          <w:sz w:val="24"/>
          <w:szCs w:val="24"/>
          <w:lang w:val="zh-CN"/>
        </w:rPr>
      </w:pPr>
      <w:r>
        <w:rPr>
          <w:rFonts w:hint="eastAsia" w:ascii="仿宋" w:hAnsi="仿宋" w:eastAsia="仿宋" w:cs="宋体"/>
          <w:b/>
          <w:bCs w:val="0"/>
          <w:sz w:val="24"/>
          <w:szCs w:val="24"/>
          <w:lang w:val="zh-CN"/>
        </w:rPr>
        <w:t>五、提供医院进行互联网医院申报模板，并全流程协助申报。</w:t>
      </w:r>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b/>
          <w:bCs w:val="0"/>
          <w:sz w:val="24"/>
          <w:szCs w:val="24"/>
          <w:lang w:val="zh-CN"/>
        </w:rPr>
      </w:pPr>
      <w:r>
        <w:rPr>
          <w:rFonts w:hint="eastAsia" w:ascii="仿宋" w:hAnsi="仿宋" w:eastAsia="仿宋" w:cs="宋体"/>
          <w:b/>
          <w:bCs w:val="0"/>
          <w:sz w:val="24"/>
          <w:szCs w:val="24"/>
          <w:lang w:val="zh-CN"/>
        </w:rPr>
        <w:t>六、整体质保三年</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2"/>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lvl>
    <w:lvl w:ilvl="7" w:tentative="0">
      <w:start w:val="1"/>
      <w:numFmt w:val="lowerLetter"/>
      <w:suff w:val="nothing"/>
      <w:lvlText w:val="%8）"/>
      <w:lvlJc w:val="left"/>
      <w:pPr>
        <w:ind w:left="0" w:firstLine="402"/>
      </w:pPr>
    </w:lvl>
    <w:lvl w:ilvl="8" w:tentative="0">
      <w:start w:val="1"/>
      <w:numFmt w:val="lowerRoman"/>
      <w:suff w:val="nothing"/>
      <w:lvlText w:val="%9. "/>
      <w:lvlJc w:val="left"/>
      <w:pPr>
        <w:ind w:left="0" w:firstLine="402"/>
      </w:pPr>
    </w:lvl>
  </w:abstractNum>
  <w:abstractNum w:abstractNumId="1">
    <w:nsid w:val="C50141FE"/>
    <w:multiLevelType w:val="singleLevel"/>
    <w:tmpl w:val="C50141FE"/>
    <w:lvl w:ilvl="0" w:tentative="0">
      <w:start w:val="6"/>
      <w:numFmt w:val="decimal"/>
      <w:suff w:val="space"/>
      <w:lvlText w:val="(%1)"/>
      <w:lvlJc w:val="left"/>
    </w:lvl>
  </w:abstractNum>
  <w:abstractNum w:abstractNumId="2">
    <w:nsid w:val="1D9FE668"/>
    <w:multiLevelType w:val="singleLevel"/>
    <w:tmpl w:val="1D9FE668"/>
    <w:lvl w:ilvl="0" w:tentative="0">
      <w:start w:val="1"/>
      <w:numFmt w:val="decimal"/>
      <w:suff w:val="nothing"/>
      <w:lvlText w:val="%1、"/>
      <w:lvlJc w:val="left"/>
    </w:lvl>
  </w:abstractNum>
  <w:abstractNum w:abstractNumId="3">
    <w:nsid w:val="29B4A65F"/>
    <w:multiLevelType w:val="singleLevel"/>
    <w:tmpl w:val="29B4A65F"/>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YzA0YzJmZGY0YzljZTdlNDcxMzM3ZDFkYTI1ZjYifQ=="/>
  </w:docVars>
  <w:rsids>
    <w:rsidRoot w:val="5BA61883"/>
    <w:rsid w:val="08601134"/>
    <w:rsid w:val="131B13EA"/>
    <w:rsid w:val="14066395"/>
    <w:rsid w:val="17AF516D"/>
    <w:rsid w:val="1D3347B8"/>
    <w:rsid w:val="23F60960"/>
    <w:rsid w:val="2D0143E4"/>
    <w:rsid w:val="2ED07E37"/>
    <w:rsid w:val="378E1DFF"/>
    <w:rsid w:val="3A0E0140"/>
    <w:rsid w:val="3C1427C4"/>
    <w:rsid w:val="3E2A2E19"/>
    <w:rsid w:val="429513FF"/>
    <w:rsid w:val="42B02350"/>
    <w:rsid w:val="4BF024A1"/>
    <w:rsid w:val="547A16D4"/>
    <w:rsid w:val="5BA61883"/>
    <w:rsid w:val="5BE52432"/>
    <w:rsid w:val="5E505552"/>
    <w:rsid w:val="60D67D6A"/>
    <w:rsid w:val="62D51F67"/>
    <w:rsid w:val="6A1B5A3C"/>
    <w:rsid w:val="6BBD714D"/>
    <w:rsid w:val="78C6724A"/>
    <w:rsid w:val="7A9A28BB"/>
    <w:rsid w:val="7E37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15、“一、”二级标题"/>
    <w:basedOn w:val="1"/>
    <w:qFormat/>
    <w:uiPriority w:val="0"/>
    <w:pPr>
      <w:numPr>
        <w:ilvl w:val="1"/>
        <w:numId w:val="1"/>
      </w:numPr>
      <w:tabs>
        <w:tab w:val="left" w:pos="0"/>
      </w:tabs>
      <w:wordWrap w:val="0"/>
      <w:topLinePunct/>
      <w:adjustRightInd w:val="0"/>
      <w:snapToGrid w:val="0"/>
      <w:spacing w:after="0" w:line="440" w:lineRule="exact"/>
      <w:ind w:firstLine="803" w:firstLineChars="200"/>
      <w:jc w:val="left"/>
      <w:outlineLvl w:val="1"/>
    </w:pPr>
    <w:rPr>
      <w:rFonts w:ascii="宋体" w:hAnsi="宋体" w:cstheme="minorBidi"/>
      <w:b/>
      <w:sz w:val="24"/>
    </w:rPr>
  </w:style>
  <w:style w:type="paragraph" w:customStyle="1" w:styleId="13">
    <w:name w:val="__正文"/>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4">
    <w:name w:val="_正文"/>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10861</Words>
  <Characters>11772</Characters>
  <Lines>0</Lines>
  <Paragraphs>0</Paragraphs>
  <TotalTime>9</TotalTime>
  <ScaleCrop>false</ScaleCrop>
  <LinksUpToDate>false</LinksUpToDate>
  <CharactersWithSpaces>11789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2022-11-25T02:13:00Z</dcterms:created>
  <dc:creator>大头</dc:creator>
  <cp:lastModifiedBy>somus °  .·</cp:lastModifiedBy>
  <cp:lastPrinted>2023-02-21T09:26:00Z</cp:lastPrinted>
  <dcterms:modified xsi:type="dcterms:W3CDTF">2023-03-12T03:40:58Z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827A33BFBFB547A1822099A301925F66</vt:lpwstr>
  </property>
</Properties>
</file>