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lang w:eastAsia="zh-CN"/>
        </w:rPr>
        <w:t>项目</w:t>
      </w:r>
      <w:r>
        <w:rPr>
          <w:rFonts w:hint="eastAsia" w:ascii="宋体"/>
          <w:b/>
          <w:sz w:val="30"/>
          <w:szCs w:val="30"/>
        </w:rPr>
        <w:t>编号：邻</w:t>
      </w:r>
      <w:r>
        <w:rPr>
          <w:rFonts w:hint="eastAsia" w:ascii="宋体"/>
          <w:b/>
          <w:sz w:val="30"/>
          <w:szCs w:val="30"/>
          <w:lang w:eastAsia="zh-CN"/>
        </w:rPr>
        <w:t>医</w:t>
      </w:r>
      <w:r>
        <w:rPr>
          <w:rFonts w:hint="eastAsia" w:ascii="宋体"/>
          <w:b/>
          <w:sz w:val="30"/>
          <w:szCs w:val="30"/>
          <w:lang w:val="en-US" w:eastAsia="zh-CN"/>
        </w:rPr>
        <w:t>采[2023]10</w:t>
      </w:r>
      <w:r>
        <w:rPr>
          <w:rFonts w:hint="eastAsia" w:ascii="宋体"/>
          <w:b/>
          <w:sz w:val="30"/>
          <w:szCs w:val="30"/>
          <w:lang w:eastAsia="zh-CN"/>
        </w:rPr>
        <w:t>号</w:t>
      </w:r>
    </w:p>
    <w:p>
      <w:pPr>
        <w:jc w:val="center"/>
        <w:rPr>
          <w:rFonts w:hint="eastAsia" w:ascii="宋体"/>
          <w:b/>
          <w:w w:val="90"/>
          <w:sz w:val="44"/>
          <w:szCs w:val="44"/>
          <w:lang w:eastAsia="zh-CN"/>
        </w:rPr>
      </w:pPr>
      <w:r>
        <w:rPr>
          <w:rFonts w:hint="eastAsia" w:ascii="宋体"/>
          <w:b/>
          <w:w w:val="90"/>
          <w:sz w:val="44"/>
          <w:szCs w:val="44"/>
          <w:lang w:eastAsia="zh-CN"/>
        </w:rPr>
        <w:t>邻水县人民医院手术器械一批</w:t>
      </w:r>
      <w:r>
        <w:rPr>
          <w:rFonts w:hint="eastAsia" w:ascii="宋体"/>
          <w:b/>
          <w:color w:val="auto"/>
          <w:w w:val="90"/>
          <w:sz w:val="44"/>
          <w:szCs w:val="44"/>
          <w:lang w:eastAsia="zh-CN"/>
        </w:rPr>
        <w:t>采</w:t>
      </w:r>
      <w:r>
        <w:rPr>
          <w:rFonts w:hint="eastAsia" w:ascii="宋体"/>
          <w:b/>
          <w:w w:val="90"/>
          <w:sz w:val="44"/>
          <w:szCs w:val="44"/>
          <w:lang w:eastAsia="zh-CN"/>
        </w:rPr>
        <w:t>购项目</w:t>
      </w:r>
    </w:p>
    <w:p>
      <w:pPr>
        <w:pStyle w:val="2"/>
        <w:rPr>
          <w:rFonts w:hint="eastAsia"/>
          <w:lang w:eastAsia="zh-CN"/>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2"/>
        <w:rPr>
          <w:rFonts w:hint="eastAsia"/>
          <w:b/>
          <w:sz w:val="32"/>
          <w:szCs w:val="32"/>
        </w:rPr>
      </w:pPr>
    </w:p>
    <w:p>
      <w:pPr>
        <w:pStyle w:val="3"/>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b/>
          <w:bCs/>
          <w:sz w:val="32"/>
          <w:szCs w:val="32"/>
          <w:lang w:val="zh-CN"/>
        </w:rPr>
      </w:pPr>
      <w:r>
        <w:rPr>
          <w:rFonts w:hint="eastAsia" w:ascii="宋体"/>
          <w:b/>
          <w:sz w:val="30"/>
          <w:szCs w:val="30"/>
          <w:lang w:val="en-US" w:eastAsia="zh-CN"/>
        </w:rPr>
        <w:t>2023</w:t>
      </w:r>
      <w:r>
        <w:rPr>
          <w:b/>
          <w:bCs/>
          <w:sz w:val="32"/>
          <w:szCs w:val="32"/>
          <w:lang w:val="zh-CN"/>
        </w:rPr>
        <w:t>年</w:t>
      </w:r>
      <w:r>
        <w:rPr>
          <w:rFonts w:hint="eastAsia"/>
          <w:b/>
          <w:bCs/>
          <w:sz w:val="32"/>
          <w:szCs w:val="32"/>
          <w:lang w:val="en-US" w:eastAsia="zh-CN"/>
        </w:rPr>
        <w:t>2</w:t>
      </w:r>
      <w:r>
        <w:rPr>
          <w:b/>
          <w:bCs/>
          <w:sz w:val="32"/>
          <w:szCs w:val="32"/>
          <w:lang w:val="zh-CN"/>
        </w:rPr>
        <w:t>月</w:t>
      </w:r>
    </w:p>
    <w:p>
      <w:pPr>
        <w:pStyle w:val="3"/>
        <w:ind w:firstLine="210"/>
        <w:rPr>
          <w:rFonts w:hint="eastAsia"/>
        </w:rPr>
      </w:pPr>
      <w:bookmarkStart w:id="0" w:name="_Hlt101233737"/>
      <w:bookmarkEnd w:id="0"/>
      <w:bookmarkStart w:id="1" w:name="_Hlt101843627"/>
      <w:bookmarkEnd w:id="1"/>
      <w:r>
        <w:rPr>
          <w:rFonts w:hint="eastAsia" w:ascii="宋体" w:eastAsia="宋体"/>
          <w:bCs w:val="0"/>
          <w:sz w:val="36"/>
        </w:rPr>
        <w:br w:type="page"/>
      </w:r>
      <w:bookmarkStart w:id="2" w:name="_Toc2769"/>
      <w:bookmarkStart w:id="3" w:name="_Toc30906"/>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19"/>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19"/>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19"/>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19"/>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19"/>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19"/>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19"/>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采[2023]10</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auto"/>
          <w:kern w:val="0"/>
          <w:sz w:val="24"/>
          <w:szCs w:val="24"/>
          <w:lang w:val="en-US" w:eastAsia="zh-CN" w:bidi="ar"/>
        </w:rPr>
        <w:t>手术器械一批</w:t>
      </w:r>
      <w:r>
        <w:rPr>
          <w:rFonts w:hint="eastAsia" w:ascii="宋体" w:hAnsi="宋体" w:eastAsia="宋体" w:cs="宋体"/>
          <w:color w:val="000000"/>
          <w:kern w:val="0"/>
          <w:sz w:val="24"/>
          <w:szCs w:val="24"/>
          <w:lang w:val="en-US" w:eastAsia="zh-CN" w:bidi="ar"/>
        </w:rPr>
        <w:t xml:space="preserve">采购项目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FF0000"/>
          <w:sz w:val="24"/>
          <w:u w:val="single"/>
          <w:lang w:val="en-US" w:eastAsia="zh-CN"/>
        </w:rPr>
      </w:pPr>
      <w:r>
        <w:rPr>
          <w:rFonts w:hint="eastAsia" w:ascii="宋体" w:hAnsi="宋体"/>
          <w:color w:val="auto"/>
          <w:sz w:val="24"/>
          <w:lang w:eastAsia="zh-CN"/>
        </w:rPr>
        <w:t>预算价</w:t>
      </w:r>
      <w:r>
        <w:rPr>
          <w:rFonts w:hint="eastAsia" w:ascii="宋体" w:hAnsi="宋体"/>
          <w:color w:val="auto"/>
          <w:sz w:val="24"/>
          <w:u w:val="none"/>
          <w:lang w:val="en-US" w:eastAsia="zh-CN"/>
        </w:rPr>
        <w:t>6</w:t>
      </w:r>
      <w:r>
        <w:rPr>
          <w:rFonts w:hint="eastAsia" w:ascii="宋体" w:hAnsi="宋体"/>
          <w:color w:val="auto"/>
          <w:sz w:val="24"/>
          <w:lang w:val="en-US" w:eastAsia="zh-CN"/>
        </w:rPr>
        <w:t>万元，</w:t>
      </w:r>
      <w:r>
        <w:rPr>
          <w:rFonts w:hint="eastAsia" w:ascii="宋体" w:hAnsi="宋体"/>
          <w:color w:val="auto"/>
          <w:sz w:val="24"/>
          <w:lang w:eastAsia="zh-CN"/>
        </w:rPr>
        <w:t>最高限价</w:t>
      </w:r>
      <w:r>
        <w:rPr>
          <w:rFonts w:hint="eastAsia" w:ascii="宋体" w:hAnsi="宋体"/>
          <w:color w:val="auto"/>
          <w:sz w:val="24"/>
          <w:lang w:val="en-US" w:eastAsia="zh-CN"/>
        </w:rPr>
        <w:t>6</w:t>
      </w:r>
      <w:r>
        <w:rPr>
          <w:rFonts w:hint="eastAsia" w:ascii="宋体" w:hAnsi="宋体"/>
          <w:color w:val="auto"/>
          <w:sz w:val="24"/>
          <w:u w:val="none"/>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eastAsia" w:ascii="宋体" w:hAnsi="宋体"/>
          <w:b/>
          <w:bCs/>
          <w:sz w:val="24"/>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20"/>
        <w:spacing w:line="440" w:lineRule="exact"/>
        <w:rPr>
          <w:rFonts w:hint="eastAsia" w:ascii="宋体" w:hAnsi="宋体"/>
          <w:sz w:val="24"/>
          <w:szCs w:val="22"/>
        </w:rPr>
      </w:pPr>
      <w:r>
        <w:rPr>
          <w:rFonts w:hint="eastAsia" w:ascii="宋体" w:hAnsi="宋体"/>
          <w:sz w:val="24"/>
          <w:szCs w:val="22"/>
        </w:rPr>
        <w:t>3.本项目的特定资格要求：具有医疗器械生产或经营企业许可证明 (三类医疗器械提供《医疗器械经营许可证》,二类医疗器械提供《第二类医疗器械经营备案凭证》)，经营或生产范围与投标产品类别一致。</w:t>
      </w:r>
    </w:p>
    <w:p>
      <w:pPr>
        <w:pStyle w:val="20"/>
        <w:spacing w:line="440" w:lineRule="exact"/>
        <w:rPr>
          <w:rFonts w:hint="default" w:ascii="宋体" w:hAnsi="宋体" w:eastAsia="宋体"/>
          <w:sz w:val="24"/>
          <w:szCs w:val="22"/>
          <w:lang w:val="en-US" w:eastAsia="zh-CN"/>
        </w:rPr>
      </w:pPr>
      <w:r>
        <w:rPr>
          <w:rFonts w:hint="eastAsia" w:ascii="宋体" w:hAnsi="宋体"/>
          <w:sz w:val="24"/>
          <w:szCs w:val="22"/>
          <w:lang w:val="en-US" w:eastAsia="zh-CN"/>
        </w:rPr>
        <w:t>4.开标时需携带样品。</w:t>
      </w:r>
    </w:p>
    <w:p>
      <w:pPr>
        <w:spacing w:line="44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 202</w:t>
      </w:r>
      <w:r>
        <w:rPr>
          <w:rFonts w:hint="eastAsia" w:ascii="宋体" w:hAnsi="宋体"/>
          <w:color w:val="auto"/>
          <w:sz w:val="24"/>
          <w:u w:val="none"/>
          <w:lang w:val="en-US" w:eastAsia="zh-CN"/>
        </w:rPr>
        <w:t>3</w:t>
      </w:r>
      <w:r>
        <w:rPr>
          <w:rFonts w:hint="eastAsia" w:ascii="宋体" w:hAnsi="宋体"/>
          <w:color w:val="auto"/>
          <w:sz w:val="24"/>
          <w:u w:val="none"/>
        </w:rPr>
        <w:t xml:space="preserve">年 </w:t>
      </w:r>
      <w:r>
        <w:rPr>
          <w:rFonts w:hint="eastAsia" w:ascii="宋体" w:hAnsi="宋体"/>
          <w:color w:val="auto"/>
          <w:sz w:val="24"/>
          <w:u w:val="none"/>
          <w:lang w:val="en-US" w:eastAsia="zh-CN"/>
        </w:rPr>
        <w:t>2</w:t>
      </w:r>
      <w:r>
        <w:rPr>
          <w:rFonts w:hint="eastAsia" w:ascii="宋体" w:hAnsi="宋体"/>
          <w:color w:val="auto"/>
          <w:sz w:val="24"/>
          <w:u w:val="none"/>
        </w:rPr>
        <w:t xml:space="preserve"> 月</w:t>
      </w:r>
      <w:r>
        <w:rPr>
          <w:rFonts w:hint="eastAsia" w:ascii="宋体" w:hAnsi="宋体"/>
          <w:color w:val="auto"/>
          <w:sz w:val="24"/>
          <w:u w:val="none"/>
          <w:lang w:val="en-US" w:eastAsia="zh-CN"/>
        </w:rPr>
        <w:t>15</w:t>
      </w:r>
      <w:r>
        <w:rPr>
          <w:rFonts w:hint="eastAsia" w:ascii="宋体" w:hAnsi="宋体"/>
          <w:color w:val="auto"/>
          <w:sz w:val="24"/>
          <w:u w:val="none"/>
        </w:rPr>
        <w:t>日</w:t>
      </w:r>
      <w:r>
        <w:rPr>
          <w:rFonts w:hint="eastAsia" w:ascii="宋体" w:hAnsi="宋体"/>
          <w:color w:val="auto"/>
          <w:sz w:val="24"/>
          <w:u w:val="none"/>
          <w:lang w:val="en-US" w:eastAsia="zh-CN"/>
        </w:rPr>
        <w:t>08</w:t>
      </w:r>
      <w:r>
        <w:rPr>
          <w:rFonts w:hint="eastAsia" w:ascii="宋体" w:hAnsi="宋体"/>
          <w:color w:val="auto"/>
          <w:sz w:val="24"/>
          <w:u w:val="none"/>
        </w:rPr>
        <w:t>时</w:t>
      </w:r>
      <w:r>
        <w:rPr>
          <w:rFonts w:hint="eastAsia" w:ascii="宋体" w:hAnsi="宋体"/>
          <w:color w:val="auto"/>
          <w:sz w:val="24"/>
          <w:u w:val="none"/>
          <w:lang w:val="en-US" w:eastAsia="zh-CN"/>
        </w:rPr>
        <w:t>00</w:t>
      </w:r>
      <w:r>
        <w:rPr>
          <w:rFonts w:hint="eastAsia" w:ascii="宋体" w:hAnsi="宋体"/>
          <w:color w:val="auto"/>
          <w:sz w:val="24"/>
          <w:u w:val="none"/>
        </w:rPr>
        <w:t>分（北京时间，下同）至202</w:t>
      </w:r>
      <w:r>
        <w:rPr>
          <w:rFonts w:hint="eastAsia" w:ascii="宋体" w:hAnsi="宋体"/>
          <w:color w:val="auto"/>
          <w:sz w:val="24"/>
          <w:u w:val="none"/>
          <w:lang w:val="en-US" w:eastAsia="zh-CN"/>
        </w:rPr>
        <w:t>3</w:t>
      </w:r>
      <w:r>
        <w:rPr>
          <w:rFonts w:hint="eastAsia" w:ascii="宋体" w:hAnsi="宋体"/>
          <w:color w:val="auto"/>
          <w:sz w:val="24"/>
          <w:u w:val="none"/>
        </w:rPr>
        <w:t>年</w:t>
      </w:r>
      <w:r>
        <w:rPr>
          <w:rFonts w:hint="eastAsia" w:ascii="宋体" w:hAnsi="宋体"/>
          <w:color w:val="auto"/>
          <w:sz w:val="24"/>
          <w:u w:val="none"/>
          <w:lang w:val="en-US" w:eastAsia="zh-CN"/>
        </w:rPr>
        <w:t>2</w:t>
      </w:r>
      <w:r>
        <w:rPr>
          <w:rFonts w:hint="eastAsia" w:ascii="宋体" w:hAnsi="宋体"/>
          <w:color w:val="auto"/>
          <w:sz w:val="24"/>
          <w:u w:val="none"/>
        </w:rPr>
        <w:t>月</w:t>
      </w:r>
      <w:r>
        <w:rPr>
          <w:rFonts w:hint="eastAsia" w:ascii="宋体" w:hAnsi="宋体"/>
          <w:color w:val="auto"/>
          <w:sz w:val="24"/>
          <w:u w:val="none"/>
          <w:lang w:val="en-US" w:eastAsia="zh-CN"/>
        </w:rPr>
        <w:t>20</w:t>
      </w:r>
      <w:r>
        <w:rPr>
          <w:rFonts w:hint="eastAsia" w:ascii="宋体" w:hAnsi="宋体"/>
          <w:color w:val="auto"/>
          <w:sz w:val="24"/>
          <w:u w:val="none"/>
        </w:rPr>
        <w:t>日</w:t>
      </w:r>
      <w:r>
        <w:rPr>
          <w:rFonts w:hint="eastAsia" w:ascii="宋体" w:hAnsi="宋体"/>
          <w:color w:val="auto"/>
          <w:sz w:val="24"/>
          <w:u w:val="none"/>
          <w:lang w:val="en-US" w:eastAsia="zh-CN"/>
        </w:rPr>
        <w:t>17</w:t>
      </w:r>
      <w:r>
        <w:rPr>
          <w:rFonts w:hint="eastAsia" w:ascii="宋体" w:hAnsi="宋体"/>
          <w:color w:val="auto"/>
          <w:sz w:val="24"/>
          <w:u w:val="none"/>
        </w:rPr>
        <w:t>时</w:t>
      </w:r>
      <w:r>
        <w:rPr>
          <w:rFonts w:hint="eastAsia" w:ascii="宋体" w:hAnsi="宋体"/>
          <w:color w:val="auto"/>
          <w:sz w:val="24"/>
          <w:u w:val="none"/>
          <w:lang w:val="en-US" w:eastAsia="zh-CN"/>
        </w:rPr>
        <w:t>3</w:t>
      </w:r>
      <w:r>
        <w:rPr>
          <w:rFonts w:hint="eastAsia" w:ascii="宋体" w:hAnsi="宋体"/>
          <w:color w:val="auto"/>
          <w:sz w:val="24"/>
          <w:lang w:val="en-US" w:eastAsia="zh-CN"/>
        </w:rPr>
        <w:t>0</w:t>
      </w:r>
      <w:r>
        <w:rPr>
          <w:rFonts w:hint="eastAsia" w:ascii="宋体" w:hAnsi="宋体"/>
          <w:color w:val="auto"/>
          <w:sz w:val="24"/>
        </w:rPr>
        <w:t>分，</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239" w:leftChars="114" w:firstLine="240" w:firstLineChars="100"/>
        <w:rPr>
          <w:rFonts w:hint="eastAsia" w:ascii="宋体" w:hAnsi="宋体" w:cs="宋体"/>
          <w:b/>
          <w:color w:val="auto"/>
          <w:sz w:val="24"/>
          <w:u w:val="none"/>
        </w:rPr>
      </w:pPr>
      <w:r>
        <w:rPr>
          <w:rFonts w:hint="eastAsia" w:ascii="宋体" w:hAnsi="宋体" w:cs="宋体"/>
          <w:b/>
          <w:color w:val="auto"/>
          <w:sz w:val="24"/>
          <w:u w:val="none"/>
        </w:rPr>
        <w:t>提交</w:t>
      </w:r>
      <w:r>
        <w:rPr>
          <w:rFonts w:hint="eastAsia" w:ascii="宋体" w:hAnsi="宋体" w:cs="宋体"/>
          <w:b/>
          <w:color w:val="auto"/>
          <w:sz w:val="24"/>
          <w:u w:val="none"/>
          <w:lang w:eastAsia="zh-CN"/>
        </w:rPr>
        <w:t>投标文件：</w:t>
      </w:r>
      <w:r>
        <w:rPr>
          <w:rFonts w:hint="eastAsia" w:ascii="宋体" w:hAnsi="宋体" w:cs="宋体"/>
          <w:b/>
          <w:color w:val="auto"/>
          <w:sz w:val="24"/>
          <w:u w:val="none"/>
        </w:rPr>
        <w:t>202</w:t>
      </w:r>
      <w:r>
        <w:rPr>
          <w:rFonts w:hint="eastAsia" w:ascii="宋体" w:hAnsi="宋体" w:cs="宋体"/>
          <w:b/>
          <w:color w:val="auto"/>
          <w:sz w:val="24"/>
          <w:u w:val="none"/>
          <w:lang w:val="en-US" w:eastAsia="zh-CN"/>
        </w:rPr>
        <w:t>3</w:t>
      </w:r>
      <w:r>
        <w:rPr>
          <w:rFonts w:hint="eastAsia" w:ascii="宋体" w:hAnsi="宋体" w:cs="宋体"/>
          <w:b/>
          <w:color w:val="auto"/>
          <w:sz w:val="24"/>
          <w:u w:val="none"/>
        </w:rPr>
        <w:t>年</w:t>
      </w:r>
      <w:r>
        <w:rPr>
          <w:rFonts w:hint="eastAsia" w:ascii="宋体" w:hAnsi="宋体" w:cs="宋体"/>
          <w:b/>
          <w:color w:val="auto"/>
          <w:sz w:val="24"/>
          <w:u w:val="none"/>
          <w:lang w:val="en-US" w:eastAsia="zh-CN"/>
        </w:rPr>
        <w:t>2</w:t>
      </w:r>
      <w:r>
        <w:rPr>
          <w:rFonts w:hint="eastAsia" w:ascii="宋体" w:hAnsi="宋体" w:cs="宋体"/>
          <w:b/>
          <w:color w:val="auto"/>
          <w:sz w:val="24"/>
          <w:u w:val="none"/>
        </w:rPr>
        <w:t>月</w:t>
      </w:r>
      <w:r>
        <w:rPr>
          <w:rFonts w:hint="eastAsia" w:ascii="宋体" w:hAnsi="宋体" w:cs="宋体"/>
          <w:b/>
          <w:color w:val="auto"/>
          <w:sz w:val="24"/>
          <w:u w:val="none"/>
          <w:lang w:val="en-US" w:eastAsia="zh-CN"/>
        </w:rPr>
        <w:t>21</w:t>
      </w:r>
      <w:r>
        <w:rPr>
          <w:rFonts w:hint="eastAsia" w:ascii="宋体" w:hAnsi="宋体" w:cs="宋体"/>
          <w:b/>
          <w:color w:val="auto"/>
          <w:sz w:val="24"/>
          <w:u w:val="none"/>
        </w:rPr>
        <w:t>日</w:t>
      </w:r>
      <w:r>
        <w:rPr>
          <w:rFonts w:hint="eastAsia" w:ascii="宋体" w:hAnsi="宋体" w:cs="宋体"/>
          <w:b/>
          <w:color w:val="auto"/>
          <w:sz w:val="24"/>
          <w:u w:val="none"/>
          <w:lang w:val="en-US" w:eastAsia="zh-CN"/>
        </w:rPr>
        <w:t>14</w:t>
      </w:r>
      <w:r>
        <w:rPr>
          <w:rFonts w:hint="eastAsia" w:ascii="宋体" w:hAnsi="宋体" w:cs="宋体"/>
          <w:b/>
          <w:color w:val="auto"/>
          <w:sz w:val="24"/>
          <w:u w:val="none"/>
        </w:rPr>
        <w:t>：</w:t>
      </w:r>
      <w:r>
        <w:rPr>
          <w:rFonts w:hint="eastAsia" w:ascii="宋体" w:hAnsi="宋体" w:cs="宋体"/>
          <w:b/>
          <w:color w:val="auto"/>
          <w:sz w:val="24"/>
          <w:u w:val="none"/>
          <w:lang w:val="en-US" w:eastAsia="zh-CN"/>
        </w:rPr>
        <w:t>30</w:t>
      </w:r>
      <w:r>
        <w:rPr>
          <w:rFonts w:hint="eastAsia" w:ascii="宋体" w:hAnsi="宋体" w:cs="宋体"/>
          <w:b/>
          <w:color w:val="auto"/>
          <w:sz w:val="24"/>
          <w:u w:val="none"/>
        </w:rPr>
        <w:t>-</w:t>
      </w:r>
      <w:r>
        <w:rPr>
          <w:rFonts w:hint="eastAsia" w:ascii="宋体" w:hAnsi="宋体" w:cs="宋体"/>
          <w:b/>
          <w:color w:val="auto"/>
          <w:sz w:val="24"/>
          <w:u w:val="none"/>
          <w:lang w:val="en-US" w:eastAsia="zh-CN"/>
        </w:rPr>
        <w:t>15</w:t>
      </w:r>
      <w:r>
        <w:rPr>
          <w:rFonts w:hint="eastAsia" w:ascii="宋体" w:hAnsi="宋体" w:cs="宋体"/>
          <w:b/>
          <w:color w:val="auto"/>
          <w:sz w:val="24"/>
          <w:u w:val="none"/>
        </w:rPr>
        <w:t>：</w:t>
      </w:r>
      <w:r>
        <w:rPr>
          <w:rFonts w:hint="eastAsia" w:ascii="宋体" w:hAnsi="宋体" w:cs="宋体"/>
          <w:b/>
          <w:color w:val="auto"/>
          <w:sz w:val="24"/>
          <w:u w:val="none"/>
          <w:lang w:val="en-US" w:eastAsia="zh-CN"/>
        </w:rPr>
        <w:t>0</w:t>
      </w:r>
      <w:r>
        <w:rPr>
          <w:rFonts w:hint="eastAsia" w:ascii="宋体" w:hAnsi="宋体" w:cs="宋体"/>
          <w:b/>
          <w:color w:val="auto"/>
          <w:sz w:val="24"/>
          <w:u w:val="none"/>
        </w:rPr>
        <w:t>0</w:t>
      </w:r>
    </w:p>
    <w:p>
      <w:pPr>
        <w:spacing w:line="440" w:lineRule="exact"/>
        <w:ind w:left="239" w:leftChars="114" w:firstLine="240" w:firstLineChars="100"/>
        <w:rPr>
          <w:rFonts w:hint="eastAsia" w:ascii="宋体" w:hAnsi="宋体" w:cs="宋体"/>
          <w:b/>
          <w:color w:val="auto"/>
          <w:sz w:val="24"/>
          <w:u w:val="none"/>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w:t>
      </w:r>
      <w:r>
        <w:rPr>
          <w:rFonts w:hint="eastAsia" w:ascii="宋体" w:hAnsi="宋体" w:cs="宋体"/>
          <w:b/>
          <w:color w:val="auto"/>
          <w:sz w:val="24"/>
          <w:u w:val="none"/>
        </w:rPr>
        <w:t>间：202</w:t>
      </w:r>
      <w:r>
        <w:rPr>
          <w:rFonts w:hint="eastAsia" w:ascii="宋体" w:hAnsi="宋体" w:cs="宋体"/>
          <w:b/>
          <w:color w:val="auto"/>
          <w:sz w:val="24"/>
          <w:u w:val="none"/>
          <w:lang w:val="en-US" w:eastAsia="zh-CN"/>
        </w:rPr>
        <w:t>3</w:t>
      </w:r>
      <w:r>
        <w:rPr>
          <w:rFonts w:hint="eastAsia" w:ascii="宋体" w:hAnsi="宋体" w:cs="宋体"/>
          <w:b/>
          <w:color w:val="auto"/>
          <w:sz w:val="24"/>
          <w:u w:val="none"/>
        </w:rPr>
        <w:t>年</w:t>
      </w:r>
      <w:r>
        <w:rPr>
          <w:rFonts w:hint="eastAsia" w:ascii="宋体" w:hAnsi="宋体" w:cs="宋体"/>
          <w:b/>
          <w:color w:val="auto"/>
          <w:sz w:val="24"/>
          <w:u w:val="none"/>
          <w:lang w:val="en-US" w:eastAsia="zh-CN"/>
        </w:rPr>
        <w:t xml:space="preserve"> 2 </w:t>
      </w:r>
      <w:r>
        <w:rPr>
          <w:rFonts w:hint="eastAsia" w:ascii="宋体" w:hAnsi="宋体" w:cs="宋体"/>
          <w:b/>
          <w:color w:val="auto"/>
          <w:sz w:val="24"/>
          <w:u w:val="none"/>
        </w:rPr>
        <w:t>月</w:t>
      </w:r>
      <w:r>
        <w:rPr>
          <w:rFonts w:hint="eastAsia" w:ascii="宋体" w:hAnsi="宋体" w:cs="宋体"/>
          <w:b/>
          <w:color w:val="auto"/>
          <w:sz w:val="24"/>
          <w:u w:val="none"/>
          <w:lang w:val="en-US" w:eastAsia="zh-CN"/>
        </w:rPr>
        <w:t xml:space="preserve"> 21 </w:t>
      </w:r>
      <w:r>
        <w:rPr>
          <w:rFonts w:hint="eastAsia" w:ascii="宋体" w:hAnsi="宋体" w:cs="宋体"/>
          <w:b/>
          <w:color w:val="auto"/>
          <w:sz w:val="24"/>
          <w:u w:val="none"/>
        </w:rPr>
        <w:t>日</w:t>
      </w:r>
      <w:r>
        <w:rPr>
          <w:rFonts w:hint="eastAsia" w:ascii="宋体" w:hAnsi="宋体" w:cs="宋体"/>
          <w:b/>
          <w:color w:val="auto"/>
          <w:sz w:val="24"/>
          <w:u w:val="none"/>
          <w:lang w:val="en-US" w:eastAsia="zh-CN"/>
        </w:rPr>
        <w:t>15</w:t>
      </w:r>
      <w:r>
        <w:rPr>
          <w:rFonts w:hint="eastAsia" w:ascii="宋体" w:hAnsi="宋体" w:cs="宋体"/>
          <w:b/>
          <w:color w:val="auto"/>
          <w:sz w:val="24"/>
          <w:u w:val="none"/>
        </w:rPr>
        <w:t>:</w:t>
      </w:r>
      <w:r>
        <w:rPr>
          <w:rFonts w:hint="eastAsia" w:ascii="宋体" w:hAnsi="宋体" w:cs="宋体"/>
          <w:b/>
          <w:color w:val="auto"/>
          <w:sz w:val="24"/>
          <w:u w:val="none"/>
          <w:lang w:val="en-US" w:eastAsia="zh-CN"/>
        </w:rPr>
        <w:t>0</w:t>
      </w:r>
      <w:r>
        <w:rPr>
          <w:rFonts w:hint="eastAsia" w:ascii="宋体" w:hAnsi="宋体" w:cs="宋体"/>
          <w:b/>
          <w:color w:val="auto"/>
          <w:sz w:val="24"/>
          <w:u w:val="none"/>
        </w:rPr>
        <w:t>0</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3</w:t>
      </w:r>
      <w:r>
        <w:rPr>
          <w:rFonts w:hint="eastAsia" w:ascii="宋体" w:hAnsi="宋体" w:cs="宋体"/>
          <w:b/>
          <w:bCs/>
          <w:color w:val="auto"/>
          <w:sz w:val="24"/>
        </w:rPr>
        <w:t>年</w:t>
      </w:r>
      <w:r>
        <w:rPr>
          <w:rFonts w:hint="eastAsia" w:ascii="宋体" w:hAnsi="宋体" w:cs="宋体"/>
          <w:b/>
          <w:bCs/>
          <w:color w:val="auto"/>
          <w:sz w:val="24"/>
          <w:u w:val="none"/>
          <w:lang w:val="en-US" w:eastAsia="zh-CN"/>
        </w:rPr>
        <w:t xml:space="preserve"> 2 </w:t>
      </w:r>
      <w:r>
        <w:rPr>
          <w:rFonts w:hint="eastAsia" w:ascii="宋体" w:hAnsi="宋体" w:cs="宋体"/>
          <w:b/>
          <w:bCs/>
          <w:color w:val="auto"/>
          <w:sz w:val="24"/>
          <w:u w:val="none"/>
        </w:rPr>
        <w:t>月</w:t>
      </w:r>
      <w:r>
        <w:rPr>
          <w:rFonts w:hint="eastAsia" w:ascii="宋体" w:hAnsi="宋体" w:cs="宋体"/>
          <w:b/>
          <w:bCs/>
          <w:color w:val="auto"/>
          <w:sz w:val="24"/>
          <w:u w:val="none"/>
          <w:lang w:val="en-US" w:eastAsia="zh-CN"/>
        </w:rPr>
        <w:t xml:space="preserve"> 21 </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00</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b/>
          <w:sz w:val="24"/>
        </w:rPr>
      </w:pPr>
      <w:r>
        <w:rPr>
          <w:rFonts w:hint="eastAsia" w:ascii="宋体" w:hAnsi="宋体" w:cs="宋体"/>
          <w:b/>
          <w:sz w:val="24"/>
        </w:rPr>
        <w:t>签到说明：供应商签到时须携带身份证明证件原件（身份证、驾照、社保卡）以供查验，如投标人员与报名人员不一致则投标人员则需提供法定代表人授权书原件一份、被授权代表的身份证复印件加盖公章并查验原件（若是法定代表人签到的则提供法人证明和身份证复印件加盖公章），否则不予签到和接收投标文件。</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sz w:val="24"/>
          <w:szCs w:val="28"/>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w:t>
      </w:r>
      <w:r>
        <w:rPr>
          <w:rFonts w:hint="eastAsia" w:ascii="宋体" w:hAnsi="宋体"/>
          <w:b/>
          <w:sz w:val="24"/>
        </w:rPr>
        <w:t>地点：</w:t>
      </w:r>
      <w:r>
        <w:rPr>
          <w:rFonts w:hint="eastAsia" w:ascii="宋体" w:hAnsi="宋体" w:cs="宋体"/>
          <w:sz w:val="24"/>
          <w:lang w:eastAsia="zh-CN"/>
        </w:rPr>
        <w:t>投标文件</w:t>
      </w:r>
      <w:r>
        <w:rPr>
          <w:rFonts w:hint="eastAsia" w:ascii="宋体" w:hAnsi="宋体" w:cs="宋体"/>
          <w:sz w:val="24"/>
        </w:rPr>
        <w:t>必须在递交</w:t>
      </w:r>
      <w:r>
        <w:rPr>
          <w:rFonts w:hint="eastAsia" w:ascii="宋体" w:hAnsi="宋体" w:cs="宋体"/>
          <w:sz w:val="24"/>
          <w:lang w:eastAsia="zh-CN"/>
        </w:rPr>
        <w:t>投标文件</w:t>
      </w:r>
      <w:r>
        <w:rPr>
          <w:rFonts w:hint="eastAsia" w:ascii="宋体" w:hAnsi="宋体" w:cs="宋体"/>
          <w:sz w:val="24"/>
        </w:rPr>
        <w:t>截止时间前送达询价地点。逾期送达、密封</w:t>
      </w:r>
      <w:r>
        <w:rPr>
          <w:rFonts w:hint="eastAsia" w:ascii="宋体" w:hAnsi="宋体" w:cs="宋体"/>
          <w:sz w:val="24"/>
          <w:lang w:eastAsia="zh-CN"/>
        </w:rPr>
        <w:t>错误</w:t>
      </w:r>
      <w:r>
        <w:rPr>
          <w:rFonts w:hint="eastAsia" w:ascii="宋体" w:hAnsi="宋体" w:cs="宋体"/>
          <w:sz w:val="24"/>
        </w:rPr>
        <w:t>和标注错误的</w:t>
      </w:r>
      <w:r>
        <w:rPr>
          <w:rFonts w:hint="eastAsia" w:ascii="宋体" w:hAnsi="宋体" w:cs="宋体"/>
          <w:sz w:val="24"/>
          <w:lang w:eastAsia="zh-CN"/>
        </w:rPr>
        <w:t>投标文件</w:t>
      </w:r>
      <w:r>
        <w:rPr>
          <w:rFonts w:hint="eastAsia" w:ascii="宋体" w:hAnsi="宋体" w:cs="宋体"/>
          <w:sz w:val="24"/>
        </w:rPr>
        <w:t>，恕不接收。本次采购不接收邮寄的</w:t>
      </w:r>
      <w:r>
        <w:rPr>
          <w:rFonts w:hint="eastAsia" w:ascii="宋体" w:hAnsi="宋体" w:cs="宋体"/>
          <w:sz w:val="24"/>
          <w:lang w:eastAsia="zh-CN"/>
        </w:rPr>
        <w:t>投标文件</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bCs/>
          <w:sz w:val="24"/>
          <w:szCs w:val="28"/>
          <w:u w:val="single"/>
        </w:rPr>
        <w:t>邻水县</w:t>
      </w:r>
      <w:r>
        <w:rPr>
          <w:rFonts w:hint="eastAsia" w:ascii="宋体" w:hAnsi="宋体"/>
          <w:b/>
          <w:bCs/>
          <w:sz w:val="24"/>
          <w:szCs w:val="28"/>
          <w:u w:val="single"/>
          <w:lang w:eastAsia="zh-CN"/>
        </w:rPr>
        <w:t>人民医院采购办</w:t>
      </w:r>
      <w:r>
        <w:rPr>
          <w:rFonts w:hint="eastAsia" w:ascii="宋体" w:hAnsi="宋体"/>
          <w:sz w:val="24"/>
          <w:szCs w:val="28"/>
        </w:rPr>
        <w:t>。</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0"/>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0"/>
        <w:keepNext w:val="0"/>
        <w:keepLines w:val="0"/>
        <w:pageBreakBefore w:val="0"/>
        <w:kinsoku/>
        <w:wordWrap/>
        <w:overflowPunct/>
        <w:topLinePunct w:val="0"/>
        <w:autoSpaceDE/>
        <w:autoSpaceDN/>
        <w:bidi w:val="0"/>
        <w:adjustRightInd/>
        <w:snapToGrid/>
        <w:spacing w:line="420" w:lineRule="exact"/>
        <w:ind w:firstLine="1200" w:firstLineChars="500"/>
        <w:textAlignment w:val="auto"/>
        <w:rPr>
          <w:rFonts w:hint="eastAsia" w:ascii="Times New Roman" w:hAnsi="Times New Roman" w:eastAsia="宋体" w:cs="Times New Roman"/>
          <w:sz w:val="24"/>
        </w:rPr>
      </w:pPr>
      <w:r>
        <w:rPr>
          <w:rFonts w:hint="eastAsia"/>
          <w:sz w:val="24"/>
        </w:rPr>
        <w:t>联</w:t>
      </w:r>
      <w:r>
        <w:rPr>
          <w:rFonts w:hint="eastAsia" w:ascii="Times New Roman" w:hAnsi="Times New Roman" w:eastAsia="宋体" w:cs="Times New Roman"/>
          <w:sz w:val="24"/>
        </w:rPr>
        <w:t xml:space="preserve"> 系 人：</w:t>
      </w:r>
      <w:r>
        <w:rPr>
          <w:rFonts w:hint="eastAsia" w:ascii="Times New Roman" w:hAnsi="Times New Roman" w:eastAsia="宋体" w:cs="Times New Roman"/>
          <w:sz w:val="24"/>
          <w:lang w:val="en-US" w:eastAsia="zh-CN"/>
        </w:rPr>
        <w:t>鲁老师</w:t>
      </w:r>
    </w:p>
    <w:p>
      <w:pPr>
        <w:pStyle w:val="20"/>
        <w:keepNext w:val="0"/>
        <w:keepLines w:val="0"/>
        <w:pageBreakBefore w:val="0"/>
        <w:kinsoku/>
        <w:wordWrap/>
        <w:overflowPunct/>
        <w:topLinePunct w:val="0"/>
        <w:autoSpaceDE/>
        <w:autoSpaceDN/>
        <w:bidi w:val="0"/>
        <w:adjustRightInd/>
        <w:snapToGrid/>
        <w:spacing w:line="420" w:lineRule="exact"/>
        <w:ind w:firstLine="1200" w:firstLineChars="50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rPr>
        <w:t>联系电话：</w:t>
      </w:r>
      <w:r>
        <w:rPr>
          <w:rFonts w:hint="eastAsia" w:ascii="Times New Roman" w:hAnsi="Times New Roman" w:eastAsia="宋体" w:cs="Times New Roman"/>
          <w:sz w:val="24"/>
          <w:lang w:val="en-US" w:eastAsia="zh-CN"/>
        </w:rPr>
        <w:t>18384510773</w:t>
      </w:r>
    </w:p>
    <w:p>
      <w:pPr>
        <w:pStyle w:val="20"/>
        <w:spacing w:line="440" w:lineRule="exact"/>
        <w:ind w:firstLine="1200" w:firstLineChars="500"/>
        <w:rPr>
          <w:rFonts w:hint="eastAsia"/>
          <w:sz w:val="24"/>
          <w:lang w:val="en-US" w:eastAsia="zh-CN"/>
        </w:rPr>
      </w:pPr>
      <w:r>
        <w:rPr>
          <w:rFonts w:hint="eastAsia"/>
          <w:sz w:val="24"/>
          <w:lang w:val="en-US" w:eastAsia="zh-CN"/>
        </w:rPr>
        <w:t xml:space="preserve">       </w:t>
      </w:r>
    </w:p>
    <w:p>
      <w:pPr>
        <w:pStyle w:val="20"/>
        <w:spacing w:line="440" w:lineRule="exact"/>
        <w:ind w:firstLine="1200" w:firstLineChars="500"/>
        <w:rPr>
          <w:rFonts w:hint="default"/>
          <w:sz w:val="24"/>
          <w:lang w:val="en-US" w:eastAsia="zh-CN"/>
        </w:rPr>
      </w:pPr>
    </w:p>
    <w:p>
      <w:pPr>
        <w:pStyle w:val="14"/>
        <w:spacing w:before="0" w:beforeAutospacing="0" w:after="0" w:afterAutospacing="0" w:line="440" w:lineRule="exact"/>
        <w:ind w:firstLine="6240" w:firstLineChars="2600"/>
        <w:rPr>
          <w:rFonts w:hint="eastAsia" w:eastAsia="宋体"/>
          <w:sz w:val="24"/>
          <w:szCs w:val="24"/>
          <w:lang w:eastAsia="zh-CN"/>
        </w:rPr>
      </w:pPr>
      <w:r>
        <w:rPr>
          <w:rFonts w:hint="eastAsia"/>
          <w:sz w:val="24"/>
          <w:szCs w:val="24"/>
          <w:lang w:val="en-US" w:eastAsia="zh-CN"/>
        </w:rPr>
        <w:t>2023</w:t>
      </w:r>
      <w:r>
        <w:rPr>
          <w:rFonts w:hint="eastAsia"/>
          <w:sz w:val="24"/>
          <w:szCs w:val="24"/>
        </w:rPr>
        <w:t>年</w:t>
      </w:r>
      <w:r>
        <w:rPr>
          <w:rFonts w:hint="eastAsia"/>
          <w:sz w:val="24"/>
          <w:szCs w:val="24"/>
          <w:lang w:val="en-US" w:eastAsia="zh-CN"/>
        </w:rPr>
        <w:t>2</w:t>
      </w:r>
      <w:r>
        <w:rPr>
          <w:rFonts w:hint="eastAsia"/>
          <w:sz w:val="24"/>
          <w:szCs w:val="24"/>
        </w:rPr>
        <w:t>月</w:t>
      </w:r>
      <w:r>
        <w:rPr>
          <w:rFonts w:hint="eastAsia"/>
          <w:sz w:val="24"/>
          <w:szCs w:val="24"/>
          <w:lang w:val="en-US" w:eastAsia="zh-CN"/>
        </w:rPr>
        <w:t>14</w:t>
      </w:r>
      <w:r>
        <w:rPr>
          <w:rFonts w:hint="eastAsia"/>
          <w:sz w:val="24"/>
          <w:szCs w:val="24"/>
          <w:lang w:eastAsia="zh-CN"/>
        </w:rPr>
        <w:t>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927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1833"/>
        <w:gridCol w:w="666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pPr>
              <w:spacing w:line="276" w:lineRule="auto"/>
              <w:ind w:left="9"/>
              <w:jc w:val="center"/>
              <w:rPr>
                <w:b/>
                <w:color w:val="000000"/>
                <w:lang w:val="zh-CN"/>
              </w:rPr>
            </w:pPr>
            <w:r>
              <w:rPr>
                <w:rFonts w:hint="eastAsia"/>
                <w:b/>
                <w:color w:val="000000"/>
                <w:lang w:val="zh-CN"/>
              </w:rPr>
              <w:t>序号</w:t>
            </w:r>
          </w:p>
        </w:tc>
        <w:tc>
          <w:tcPr>
            <w:tcW w:w="1833" w:type="dxa"/>
            <w:noWrap w:val="0"/>
            <w:vAlign w:val="center"/>
          </w:tcPr>
          <w:p>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660" w:type="dxa"/>
            <w:noWrap w:val="0"/>
            <w:vAlign w:val="center"/>
          </w:tcPr>
          <w:p>
            <w:pPr>
              <w:spacing w:line="276" w:lineRule="auto"/>
              <w:jc w:val="center"/>
              <w:rPr>
                <w:b/>
                <w:color w:val="000000"/>
                <w:lang w:val="zh-CN"/>
              </w:rPr>
            </w:pPr>
            <w:r>
              <w:rPr>
                <w:rFonts w:hint="eastAsia"/>
                <w:b/>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1</w:t>
            </w:r>
          </w:p>
        </w:tc>
        <w:tc>
          <w:tcPr>
            <w:tcW w:w="1833" w:type="dxa"/>
            <w:noWrap w:val="0"/>
            <w:vAlign w:val="center"/>
          </w:tcPr>
          <w:p>
            <w:pPr>
              <w:spacing w:line="276" w:lineRule="auto"/>
              <w:ind w:left="38"/>
              <w:jc w:val="center"/>
              <w:rPr>
                <w:color w:val="000000"/>
                <w:lang w:val="zh-CN"/>
              </w:rPr>
            </w:pPr>
            <w:r>
              <w:rPr>
                <w:rFonts w:hint="eastAsia"/>
                <w:color w:val="000000"/>
                <w:lang w:val="zh-CN"/>
              </w:rPr>
              <w:t>确定邀请询价的供应商数量和方式</w:t>
            </w:r>
          </w:p>
        </w:tc>
        <w:tc>
          <w:tcPr>
            <w:tcW w:w="6660" w:type="dxa"/>
            <w:noWrap w:val="0"/>
            <w:vAlign w:val="center"/>
          </w:tcPr>
          <w:p>
            <w:pPr>
              <w:spacing w:line="276" w:lineRule="auto"/>
              <w:ind w:firstLine="210" w:firstLineChars="100"/>
              <w:rPr>
                <w:color w:val="000000"/>
                <w:lang w:val="zh-CN"/>
              </w:rPr>
            </w:pPr>
            <w:r>
              <w:rPr>
                <w:rFonts w:hint="eastAsia"/>
                <w:color w:val="000000"/>
                <w:lang w:val="zh-CN"/>
              </w:rPr>
              <w:t>本次询价邀请的供应商数量：3家及以上。</w:t>
            </w:r>
          </w:p>
          <w:p>
            <w:pPr>
              <w:spacing w:line="276" w:lineRule="auto"/>
              <w:ind w:firstLine="210" w:firstLineChars="100"/>
              <w:rPr>
                <w:color w:val="000000"/>
                <w:lang w:val="zh-CN"/>
              </w:rPr>
            </w:pPr>
            <w:r>
              <w:rPr>
                <w:rFonts w:hint="eastAsia"/>
                <w:color w:val="000000"/>
                <w:lang w:val="zh-CN"/>
              </w:rPr>
              <w:t>本次采购采取公开的方式邀请参加投标的供应商。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2</w:t>
            </w:r>
          </w:p>
        </w:tc>
        <w:tc>
          <w:tcPr>
            <w:tcW w:w="1833" w:type="dxa"/>
            <w:noWrap w:val="0"/>
            <w:vAlign w:val="center"/>
          </w:tcPr>
          <w:p>
            <w:pPr>
              <w:spacing w:line="276" w:lineRule="auto"/>
              <w:ind w:left="38"/>
              <w:jc w:val="center"/>
              <w:rPr>
                <w:color w:val="000000"/>
                <w:lang w:val="zh-CN"/>
              </w:rPr>
            </w:pPr>
            <w:r>
              <w:rPr>
                <w:rFonts w:hint="eastAsia"/>
                <w:color w:val="000000"/>
                <w:lang w:val="zh-CN"/>
              </w:rPr>
              <w:t>低于成本价</w:t>
            </w:r>
          </w:p>
          <w:p>
            <w:pPr>
              <w:spacing w:line="276" w:lineRule="auto"/>
              <w:ind w:left="38"/>
              <w:jc w:val="center"/>
              <w:rPr>
                <w:color w:val="000000"/>
                <w:lang w:val="zh-CN"/>
              </w:rPr>
            </w:pPr>
            <w:r>
              <w:rPr>
                <w:rFonts w:hint="eastAsia"/>
                <w:color w:val="000000"/>
                <w:lang w:val="zh-CN"/>
              </w:rPr>
              <w:t>不正当竞争预防措施（实质性要求）</w:t>
            </w:r>
          </w:p>
        </w:tc>
        <w:tc>
          <w:tcPr>
            <w:tcW w:w="6660" w:type="dxa"/>
            <w:noWrap w:val="0"/>
            <w:vAlign w:val="top"/>
          </w:tcPr>
          <w:p>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cs="Courier New"/>
                <w:color w:val="000000"/>
                <w:lang w:val="en-US" w:eastAsia="zh-CN"/>
              </w:rPr>
            </w:pPr>
            <w:r>
              <w:rPr>
                <w:rFonts w:hint="eastAsia" w:cs="Courier New"/>
                <w:color w:val="000000"/>
                <w:lang w:val="zh-CN"/>
              </w:rPr>
              <w:t>3</w:t>
            </w:r>
          </w:p>
        </w:tc>
        <w:tc>
          <w:tcPr>
            <w:tcW w:w="1833" w:type="dxa"/>
            <w:noWrap w:val="0"/>
            <w:vAlign w:val="center"/>
          </w:tcPr>
          <w:p>
            <w:pPr>
              <w:spacing w:line="276" w:lineRule="auto"/>
              <w:ind w:left="38"/>
              <w:jc w:val="center"/>
              <w:rPr>
                <w:color w:val="000000"/>
                <w:lang w:val="zh-CN"/>
              </w:rPr>
            </w:pPr>
            <w:r>
              <w:rPr>
                <w:rFonts w:hint="eastAsia"/>
                <w:color w:val="000000"/>
                <w:lang w:val="zh-CN"/>
              </w:rPr>
              <w:t>小微企业（监狱企业、残疾人福利性单位视同小微企业）价格扣除（实质性要求）</w:t>
            </w:r>
          </w:p>
          <w:p>
            <w:pPr>
              <w:spacing w:line="276" w:lineRule="auto"/>
              <w:ind w:left="38" w:leftChars="0"/>
              <w:jc w:val="center"/>
              <w:rPr>
                <w:rFonts w:hint="eastAsia"/>
                <w:color w:val="000000"/>
                <w:lang w:val="zh-CN"/>
              </w:rPr>
            </w:pPr>
          </w:p>
        </w:tc>
        <w:tc>
          <w:tcPr>
            <w:tcW w:w="6660" w:type="dxa"/>
            <w:noWrap w:val="0"/>
            <w:vAlign w:val="top"/>
          </w:tcPr>
          <w:p>
            <w:pPr>
              <w:widowControl/>
              <w:spacing w:line="276" w:lineRule="auto"/>
              <w:ind w:firstLine="210" w:firstLineChars="100"/>
              <w:rPr>
                <w:rFonts w:ascii="宋体" w:hAnsi="宋体" w:cs="宋体"/>
                <w:kern w:val="0"/>
              </w:rPr>
            </w:pPr>
            <w:r>
              <w:rPr>
                <w:rFonts w:hint="eastAsia" w:ascii="宋体" w:hAnsi="宋体" w:cs="宋体"/>
                <w:kern w:val="0"/>
              </w:rPr>
              <w:t>一、小微企业（监狱企业、残疾人福利单位视同微型企业）价格扣除</w:t>
            </w:r>
          </w:p>
          <w:p>
            <w:pPr>
              <w:widowControl/>
              <w:spacing w:line="276" w:lineRule="auto"/>
              <w:ind w:firstLine="210" w:firstLineChars="100"/>
              <w:rPr>
                <w:rFonts w:ascii="宋体" w:hAnsi="宋体" w:cs="宋体"/>
                <w:kern w:val="0"/>
              </w:rPr>
            </w:pPr>
            <w:r>
              <w:rPr>
                <w:rFonts w:hint="eastAsia" w:ascii="宋体" w:hAnsi="宋体" w:cs="宋体"/>
                <w:kern w:val="0"/>
              </w:rPr>
              <w:t>1.根据《政府采购促进中小企业发展管理办法》的规定，在政府采购活动中，对供应商提供的货物或者服务符合规定的，供应商报价给予10%的价格扣除，用扣除后的价格参与评审。</w:t>
            </w:r>
          </w:p>
          <w:p>
            <w:pPr>
              <w:widowControl/>
              <w:spacing w:line="276" w:lineRule="auto"/>
              <w:ind w:firstLine="210" w:firstLineChars="100"/>
              <w:rPr>
                <w:rFonts w:ascii="宋体" w:hAnsi="宋体" w:cs="宋体"/>
                <w:kern w:val="0"/>
              </w:rPr>
            </w:pPr>
            <w:r>
              <w:rPr>
                <w:rFonts w:hint="eastAsia" w:ascii="宋体" w:hAnsi="宋体" w:cs="宋体"/>
                <w:kern w:val="0"/>
              </w:rPr>
              <w:t>2.监狱企业、残疾人福利性单位视同为微型企业。</w:t>
            </w:r>
          </w:p>
          <w:p>
            <w:pPr>
              <w:widowControl/>
              <w:spacing w:line="276" w:lineRule="auto"/>
              <w:ind w:firstLine="210" w:firstLineChars="100"/>
              <w:rPr>
                <w:rFonts w:ascii="宋体" w:hAnsi="宋体" w:cs="宋体"/>
                <w:kern w:val="0"/>
              </w:rPr>
            </w:pPr>
            <w:r>
              <w:rPr>
                <w:rFonts w:hint="eastAsia" w:ascii="宋体" w:hAnsi="宋体" w:cs="宋体"/>
                <w:kern w:val="0"/>
              </w:rPr>
              <w:t>3.参加政府采购活动的中小企业应当提供《中小企业声明函》原件。监狱企业参加政府采购活动时，应当提供由省级或以上监狱管理局、戒毒管理局（含新疆生产建设兵团）出具的属于监狱企业的证明文件。残疾人福利性单位应当提供《残疾人福利性单位声明函》原件。</w:t>
            </w:r>
          </w:p>
          <w:p>
            <w:pPr>
              <w:widowControl/>
              <w:spacing w:line="276" w:lineRule="auto"/>
              <w:ind w:firstLine="210" w:firstLineChars="100"/>
              <w:rPr>
                <w:rFonts w:ascii="宋体" w:hAnsi="宋体" w:cs="宋体"/>
                <w:kern w:val="0"/>
              </w:rPr>
            </w:pPr>
            <w:r>
              <w:rPr>
                <w:rFonts w:hint="eastAsia" w:ascii="宋体" w:hAnsi="宋体" w:cs="宋体"/>
                <w:kern w:val="0"/>
              </w:rPr>
              <w:t>4.允许联合体投标的项目中，大中型企业与小型、微型企业组成联合体共同参加非专门面向中小企业的政府采购活动的，联合体协议中约定，小型、微型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5.允许大中型企业向一家或者多家小微企业分包的采购项目，分包意向协议约定小微企业的合同份额占到合同总金额30%以上的，给予联合体4%的价格扣除。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6.联合体各方均为小型、微型企业的，联合体视同为小型、微型企业享受规定的扶持政策。</w:t>
            </w:r>
          </w:p>
          <w:p>
            <w:pPr>
              <w:widowControl/>
              <w:spacing w:line="276" w:lineRule="auto"/>
              <w:ind w:firstLine="210" w:firstLineChars="100"/>
              <w:rPr>
                <w:rFonts w:ascii="宋体" w:hAnsi="宋体" w:cs="宋体"/>
                <w:kern w:val="0"/>
              </w:rPr>
            </w:pPr>
            <w:r>
              <w:rPr>
                <w:rFonts w:hint="eastAsia" w:ascii="宋体" w:hAnsi="宋体" w:cs="宋体"/>
                <w:kern w:val="0"/>
              </w:rPr>
              <w:t>7.组成联合体或者接受分包合同的中小企业与联合体内其他企业、分包企业之间不得存在直接控股、管理关系。</w:t>
            </w:r>
          </w:p>
          <w:p>
            <w:pPr>
              <w:widowControl/>
              <w:spacing w:line="276" w:lineRule="auto"/>
              <w:ind w:firstLine="210" w:firstLineChars="100"/>
              <w:rPr>
                <w:rFonts w:ascii="宋体" w:hAnsi="宋体" w:cs="宋体"/>
                <w:kern w:val="0"/>
              </w:rPr>
            </w:pPr>
            <w:r>
              <w:rPr>
                <w:rFonts w:hint="eastAsia" w:ascii="宋体" w:hAnsi="宋体" w:cs="宋体"/>
                <w:kern w:val="0"/>
              </w:rPr>
              <w:t>8.依据相关规定享受扶持政策获得政府采购合同的，小微企业不得将合同分包给大中型企业，中型企业不得将合同分包给大型企业。</w:t>
            </w:r>
          </w:p>
          <w:p>
            <w:pPr>
              <w:widowControl/>
              <w:spacing w:line="276" w:lineRule="auto"/>
              <w:ind w:firstLine="210" w:firstLineChars="100"/>
              <w:jc w:val="left"/>
              <w:rPr>
                <w:rFonts w:hint="eastAsia"/>
                <w:color w:val="000000"/>
              </w:rPr>
            </w:pPr>
            <w:r>
              <w:rPr>
                <w:rFonts w:hint="eastAsia" w:ascii="宋体" w:hAnsi="宋体" w:cs="宋体"/>
                <w:b/>
                <w:kern w:val="0"/>
              </w:rPr>
              <w:t>二、专门面向中小企业采购的项目不再进行小微企业价格扣除。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1833" w:type="dxa"/>
            <w:noWrap w:val="0"/>
            <w:vAlign w:val="center"/>
          </w:tcPr>
          <w:p>
            <w:pPr>
              <w:spacing w:line="276" w:lineRule="auto"/>
              <w:ind w:left="38"/>
              <w:jc w:val="center"/>
              <w:rPr>
                <w:color w:val="000000"/>
                <w:lang w:val="zh-CN"/>
              </w:rPr>
            </w:pPr>
            <w:r>
              <w:rPr>
                <w:rFonts w:hint="eastAsia"/>
                <w:color w:val="000000"/>
                <w:lang w:val="zh-CN"/>
              </w:rPr>
              <w:t>投标保证金</w:t>
            </w:r>
          </w:p>
        </w:tc>
        <w:tc>
          <w:tcPr>
            <w:tcW w:w="6660" w:type="dxa"/>
            <w:noWrap w:val="0"/>
            <w:vAlign w:val="center"/>
          </w:tcPr>
          <w:p>
            <w:pPr>
              <w:spacing w:line="276" w:lineRule="auto"/>
              <w:ind w:left="210" w:leftChars="100"/>
              <w:rPr>
                <w:color w:val="000000"/>
              </w:rPr>
            </w:pPr>
            <w:r>
              <w:rPr>
                <w:rFonts w:hint="eastAsia"/>
                <w:color w:val="000000"/>
              </w:rPr>
              <w:t>本项目不收取</w:t>
            </w:r>
            <w:r>
              <w:rPr>
                <w:rFonts w:hint="eastAsia"/>
                <w:color w:val="000000"/>
                <w:lang w:eastAsia="zh-CN"/>
              </w:rPr>
              <w:t>投标</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1833" w:type="dxa"/>
            <w:noWrap w:val="0"/>
            <w:vAlign w:val="center"/>
          </w:tcPr>
          <w:p>
            <w:pPr>
              <w:spacing w:line="276" w:lineRule="auto"/>
              <w:ind w:left="38"/>
              <w:jc w:val="center"/>
              <w:rPr>
                <w:color w:val="000000"/>
                <w:lang w:val="zh-CN"/>
              </w:rPr>
            </w:pPr>
            <w:r>
              <w:rPr>
                <w:rFonts w:hint="eastAsia"/>
                <w:color w:val="000000"/>
                <w:lang w:val="zh-CN"/>
              </w:rPr>
              <w:t>履约保证金</w:t>
            </w:r>
          </w:p>
        </w:tc>
        <w:tc>
          <w:tcPr>
            <w:tcW w:w="6660" w:type="dxa"/>
            <w:noWrap w:val="0"/>
            <w:vAlign w:val="center"/>
          </w:tcPr>
          <w:p>
            <w:pPr>
              <w:widowControl/>
              <w:spacing w:line="276" w:lineRule="auto"/>
              <w:ind w:firstLine="210" w:firstLineChars="100"/>
              <w:rPr>
                <w:rFonts w:hint="eastAsia" w:eastAsia="宋体"/>
                <w:color w:val="000000"/>
                <w:lang w:eastAsia="zh-CN"/>
              </w:rPr>
            </w:pPr>
            <w:r>
              <w:rPr>
                <w:rFonts w:hint="eastAsia" w:ascii="宋体" w:hAnsi="宋体" w:cs="宋体"/>
                <w:kern w:val="0"/>
                <w:lang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1833" w:type="dxa"/>
            <w:noWrap w:val="0"/>
            <w:vAlign w:val="center"/>
          </w:tcPr>
          <w:p>
            <w:pPr>
              <w:spacing w:line="276" w:lineRule="auto"/>
              <w:ind w:left="38" w:leftChars="0"/>
              <w:jc w:val="center"/>
              <w:rPr>
                <w:color w:val="000000"/>
                <w:lang w:val="zh-CN"/>
              </w:rPr>
            </w:pPr>
            <w:r>
              <w:rPr>
                <w:rFonts w:hint="eastAsia"/>
                <w:color w:val="000000"/>
                <w:lang w:val="zh-CN"/>
              </w:rPr>
              <w:t>预付款</w:t>
            </w:r>
          </w:p>
        </w:tc>
        <w:tc>
          <w:tcPr>
            <w:tcW w:w="6660" w:type="dxa"/>
            <w:noWrap w:val="0"/>
            <w:vAlign w:val="center"/>
          </w:tcPr>
          <w:p>
            <w:pPr>
              <w:spacing w:line="276" w:lineRule="auto"/>
              <w:ind w:firstLine="210" w:firstLineChars="100"/>
              <w:rPr>
                <w:color w:val="000000"/>
                <w:lang w:val="zh-CN"/>
              </w:rPr>
            </w:pPr>
            <w:r>
              <w:rPr>
                <w:rFonts w:hint="eastAsia"/>
                <w:color w:val="000000"/>
                <w:lang w:val="zh-CN"/>
              </w:rPr>
              <w:t>本项目</w:t>
            </w:r>
            <w:r>
              <w:rPr>
                <w:color w:val="000000"/>
                <w:lang w:val="zh-CN"/>
              </w:rPr>
              <w:t>鼓励支持预付款</w:t>
            </w:r>
            <w:r>
              <w:rPr>
                <w:rFonts w:hint="eastAsia" w:ascii="宋体" w:hAnsi="宋体" w:cs="宋体"/>
                <w:kern w:val="0"/>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1833" w:type="dxa"/>
            <w:noWrap w:val="0"/>
            <w:vAlign w:val="center"/>
          </w:tcPr>
          <w:p>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660" w:type="dxa"/>
            <w:noWrap w:val="0"/>
            <w:vAlign w:val="center"/>
          </w:tcPr>
          <w:p>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8</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供应商询问、质疑</w:t>
            </w:r>
          </w:p>
        </w:tc>
        <w:tc>
          <w:tcPr>
            <w:tcW w:w="6660"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ind w:firstLine="210" w:firstLineChars="100"/>
              <w:rPr>
                <w:bCs/>
                <w:highlight w:val="white"/>
              </w:rPr>
            </w:pPr>
            <w:r>
              <w:rPr>
                <w:rFonts w:hint="eastAsia"/>
                <w:bCs/>
                <w:highlight w:val="white"/>
              </w:rPr>
              <w:t>3.本项目供应商须在法定质疑期内一次性提出针对同一采购程序环节的质疑。</w:t>
            </w:r>
          </w:p>
          <w:p>
            <w:pPr>
              <w:ind w:firstLine="210" w:firstLineChars="100"/>
              <w:rPr>
                <w:bCs/>
                <w:highlight w:val="white"/>
              </w:rPr>
            </w:pPr>
            <w:r>
              <w:rPr>
                <w:rFonts w:hint="eastAsia"/>
                <w:bCs/>
                <w:highlight w:val="white"/>
              </w:rPr>
              <w:t xml:space="preserve">4.供应商可以通过现场、邮寄等方式书面向采购人提出询问、质疑相关事宜。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供应商投诉</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投诉受理单位：邻水县人民医院纪检监察室</w:t>
            </w:r>
          </w:p>
          <w:p>
            <w:pPr>
              <w:spacing w:line="276" w:lineRule="auto"/>
              <w:ind w:firstLine="210" w:firstLineChars="100"/>
              <w:rPr>
                <w:color w:val="000000"/>
                <w:lang w:val="zh-CN"/>
              </w:rPr>
            </w:pPr>
            <w:r>
              <w:rPr>
                <w:rFonts w:hint="eastAsia"/>
                <w:color w:val="000000"/>
                <w:lang w:val="zh-CN"/>
              </w:rPr>
              <w:t>联 系 人：文老师</w:t>
            </w:r>
          </w:p>
          <w:p>
            <w:pPr>
              <w:spacing w:line="276" w:lineRule="auto"/>
              <w:ind w:firstLine="210" w:firstLineChars="100"/>
              <w:rPr>
                <w:rFonts w:hint="eastAsia"/>
                <w:color w:val="000000"/>
                <w:lang w:val="en-US" w:eastAsia="zh-CN"/>
              </w:rPr>
            </w:pPr>
            <w:r>
              <w:rPr>
                <w:rFonts w:hint="eastAsia"/>
                <w:color w:val="000000"/>
                <w:lang w:val="zh-CN"/>
              </w:rPr>
              <w:t>联系电话：</w:t>
            </w:r>
            <w:r>
              <w:rPr>
                <w:rFonts w:hint="eastAsia"/>
                <w:color w:val="000000"/>
                <w:lang w:val="en-US" w:eastAsia="zh-CN"/>
              </w:rPr>
              <w:t>15282688818</w:t>
            </w:r>
          </w:p>
          <w:p>
            <w:pPr>
              <w:spacing w:line="276" w:lineRule="auto"/>
              <w:ind w:firstLine="210" w:firstLineChars="100"/>
              <w:rPr>
                <w:color w:val="000000"/>
                <w:lang w:val="zh-CN"/>
              </w:rPr>
            </w:pPr>
            <w:r>
              <w:rPr>
                <w:rFonts w:hint="eastAsia"/>
                <w:color w:val="000000"/>
                <w:lang w:val="zh-CN"/>
              </w:rPr>
              <w:t>联系地址：邻水县鼎屏镇人民路北段</w:t>
            </w:r>
            <w:r>
              <w:rPr>
                <w:rFonts w:hint="eastAsia"/>
                <w:color w:val="000000"/>
                <w:lang w:val="en-US" w:eastAsia="zh-CN"/>
              </w:rPr>
              <w:t>487</w:t>
            </w:r>
            <w:r>
              <w:rPr>
                <w:rFonts w:hint="eastAsia"/>
                <w:color w:val="000000"/>
                <w:lang w:val="zh-CN"/>
              </w:rPr>
              <w:t>号</w:t>
            </w:r>
          </w:p>
          <w:p>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color w:val="000000"/>
                <w:lang w:val="en-US" w:eastAsia="zh-CN"/>
              </w:rPr>
            </w:pPr>
            <w:r>
              <w:rPr>
                <w:rFonts w:hint="eastAsia" w:cs="Courier New"/>
                <w:color w:val="000000"/>
                <w:lang w:val="en-US" w:eastAsia="zh-CN"/>
              </w:rPr>
              <w:t>10</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660"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1</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2</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38"/>
              <w:jc w:val="center"/>
              <w:rPr>
                <w:color w:val="000000"/>
                <w:lang w:val="zh-CN"/>
              </w:rPr>
            </w:pPr>
            <w:r>
              <w:rPr>
                <w:rFonts w:hint="eastAsia"/>
                <w:color w:val="000000"/>
                <w:lang w:val="zh-CN"/>
              </w:rPr>
              <w:t>成交通知书领取</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color w:val="000000"/>
                <w:kern w:val="2"/>
                <w:sz w:val="21"/>
                <w:szCs w:val="24"/>
                <w:lang w:val="en-US" w:eastAsia="zh-CN" w:bidi="ar-SA"/>
              </w:rPr>
            </w:pPr>
            <w:r>
              <w:rPr>
                <w:rFonts w:hint="eastAsia" w:cs="Courier New"/>
                <w:lang w:val="zh-CN"/>
              </w:rPr>
              <w:t>1</w:t>
            </w:r>
            <w:r>
              <w:rPr>
                <w:rFonts w:hint="eastAsia" w:cs="Courier New"/>
              </w:rPr>
              <w:t>3</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leftChars="0"/>
              <w:jc w:val="center"/>
              <w:rPr>
                <w:rFonts w:hint="eastAsia" w:ascii="Times New Roman" w:hAnsi="Times New Roman" w:eastAsia="宋体" w:cs="Times New Roman"/>
                <w:kern w:val="2"/>
                <w:sz w:val="21"/>
                <w:szCs w:val="24"/>
                <w:lang w:val="en-US" w:eastAsia="zh-CN" w:bidi="ar-SA"/>
              </w:rPr>
            </w:pPr>
            <w:r>
              <w:t>政府强制</w:t>
            </w:r>
            <w:r>
              <w:rPr>
                <w:rFonts w:hint="eastAsia"/>
              </w:rPr>
              <w:t>、</w:t>
            </w:r>
            <w:r>
              <w:t>优先采购的节能、环保、无线局域网产品 （实质性要求）</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rPr>
              <w:t>1.列入节能产品政府采购品目清单的强制节能产品，提供依据国家确定的认证机构出具的、处于有效期之内的节能产品认证证书复印件加盖供应商公章</w:t>
            </w:r>
            <w:r>
              <w:rPr>
                <w:b/>
              </w:rPr>
              <w:t>；</w:t>
            </w:r>
            <w:r>
              <w:rPr>
                <w:rFonts w:hint="eastAsia"/>
              </w:rPr>
              <w:t>不</w:t>
            </w:r>
            <w:r>
              <w:t>属于政府强制</w:t>
            </w:r>
            <w:r>
              <w:rPr>
                <w:color w:val="000000"/>
                <w:lang w:val="zh-CN"/>
              </w:rPr>
              <w:t>采购节能产品</w:t>
            </w:r>
            <w:r>
              <w:rPr>
                <w:rFonts w:hint="eastAsia"/>
                <w:color w:val="000000"/>
                <w:lang w:val="zh-CN"/>
              </w:rPr>
              <w:t>但属于节能产品政府采购品目清单中的优先采购产品，供应商</w:t>
            </w:r>
            <w:r>
              <w:rPr>
                <w:color w:val="000000"/>
                <w:lang w:val="zh-CN"/>
              </w:rPr>
              <w:t>须在</w:t>
            </w:r>
            <w:r>
              <w:rPr>
                <w:rFonts w:hint="eastAsia"/>
                <w:color w:val="000000"/>
                <w:lang w:val="zh-CN"/>
              </w:rPr>
              <w:t>响应</w:t>
            </w:r>
            <w:r>
              <w:rPr>
                <w:color w:val="000000"/>
                <w:lang w:val="zh-CN"/>
              </w:rPr>
              <w:t>文件中提供</w:t>
            </w:r>
            <w:r>
              <w:rPr>
                <w:rFonts w:hint="eastAsia"/>
                <w:color w:val="000000"/>
                <w:lang w:val="zh-CN"/>
              </w:rPr>
              <w:t>在有效期内的节能产品认证证书</w:t>
            </w:r>
            <w:r>
              <w:rPr>
                <w:color w:val="000000"/>
                <w:lang w:val="zh-CN"/>
              </w:rPr>
              <w:t>复印件并加盖公章，否则不予认定。</w:t>
            </w:r>
          </w:p>
          <w:p>
            <w:pPr>
              <w:spacing w:line="276" w:lineRule="auto"/>
              <w:ind w:firstLine="210" w:firstLineChars="100"/>
              <w:rPr>
                <w:color w:val="000000"/>
                <w:lang w:val="zh-CN"/>
              </w:rPr>
            </w:pPr>
            <w:r>
              <w:rPr>
                <w:rFonts w:hint="eastAsia"/>
                <w:color w:val="000000"/>
                <w:lang w:val="zh-CN"/>
              </w:rPr>
              <w:t>2.</w:t>
            </w:r>
            <w:r>
              <w:rPr>
                <w:color w:val="000000"/>
                <w:lang w:val="zh-CN"/>
              </w:rPr>
              <w:t>本次投标产品如为</w:t>
            </w:r>
            <w:r>
              <w:rPr>
                <w:rFonts w:hint="eastAsia"/>
                <w:color w:val="000000"/>
                <w:lang w:val="zh-CN"/>
              </w:rPr>
              <w:t>环境标志产品政府采购品目清单中的产品</w:t>
            </w:r>
            <w:r>
              <w:rPr>
                <w:color w:val="000000"/>
                <w:lang w:val="zh-CN"/>
              </w:rPr>
              <w:t>，供应商须在响应文件中提供</w:t>
            </w:r>
            <w:r>
              <w:rPr>
                <w:rFonts w:hint="eastAsia"/>
                <w:color w:val="000000"/>
                <w:lang w:val="zh-CN"/>
              </w:rPr>
              <w:t>在有效期内的环境标志产品认证证书</w:t>
            </w:r>
            <w:r>
              <w:rPr>
                <w:color w:val="000000"/>
                <w:lang w:val="zh-CN"/>
              </w:rPr>
              <w:t>复印件并加盖单位公章，否则不予认定。</w:t>
            </w:r>
          </w:p>
          <w:p>
            <w:pPr>
              <w:spacing w:line="276" w:lineRule="auto"/>
              <w:ind w:firstLine="210" w:firstLineChars="100"/>
              <w:rPr>
                <w:color w:val="000000"/>
                <w:lang w:val="zh-CN"/>
              </w:rPr>
            </w:pPr>
            <w:r>
              <w:rPr>
                <w:rFonts w:hint="eastAsia"/>
                <w:color w:val="000000"/>
                <w:lang w:val="zh-CN"/>
              </w:rPr>
              <w:t>3.本次产品型号列入最新一期</w:t>
            </w:r>
            <w:r>
              <w:rPr>
                <w:color w:val="000000"/>
                <w:lang w:val="zh-CN"/>
              </w:rPr>
              <w:t>（清单在</w:t>
            </w:r>
            <w:r>
              <w:rPr>
                <w:rFonts w:hint="eastAsia"/>
                <w:color w:val="000000"/>
                <w:lang w:val="zh-CN"/>
              </w:rPr>
              <w:t>采购文件</w:t>
            </w:r>
            <w:r>
              <w:rPr>
                <w:color w:val="000000"/>
                <w:lang w:val="zh-CN"/>
              </w:rPr>
              <w:t>发布之日后公布的，同时执行上期和本期清单）</w:t>
            </w:r>
            <w:r>
              <w:rPr>
                <w:rFonts w:hint="eastAsia"/>
                <w:color w:val="000000"/>
                <w:lang w:val="zh-CN"/>
              </w:rPr>
              <w:t>无线局域网认证产品政府采购清单</w:t>
            </w:r>
            <w:r>
              <w:rPr>
                <w:color w:val="000000"/>
                <w:lang w:val="zh-CN"/>
              </w:rPr>
              <w:t>内型号（产品型号和清单型号须完全一致），供应商须在响应文件中提供证明资料（包括提供投标产品所在清单页复印件并加盖单位公章），否则不予认定。</w:t>
            </w:r>
            <w:r>
              <w:rPr>
                <w:rFonts w:hint="eastAsia"/>
                <w:color w:val="000000"/>
                <w:lang w:val="zh-CN"/>
              </w:rPr>
              <w:t xml:space="preserve"> </w:t>
            </w:r>
          </w:p>
          <w:p>
            <w:pPr>
              <w:spacing w:line="276" w:lineRule="auto"/>
              <w:ind w:firstLine="210" w:firstLineChars="100"/>
              <w:rPr>
                <w:rFonts w:hint="eastAsia" w:ascii="Times New Roman" w:hAnsi="Times New Roman" w:eastAsia="宋体" w:cs="Times New Roman"/>
                <w:b/>
                <w:kern w:val="2"/>
                <w:sz w:val="21"/>
                <w:szCs w:val="24"/>
                <w:lang w:val="en-US" w:eastAsia="zh-CN" w:bidi="ar-SA"/>
              </w:rPr>
            </w:pPr>
            <w:r>
              <w:rPr>
                <w:rFonts w:hint="eastAsia"/>
                <w:b/>
                <w:bCs/>
                <w:lang w:val="zh-CN"/>
              </w:rPr>
              <w:t>4.本项目采购的产品属于品目清单优先采购范围的，在本采购文件第六章成交候选供应商并列时，予以优先采购，具体为：供应商所响应的产品中，属于政府采购品目清单中优先采购范围的，按照获得有效认证的产品数量（可重复计算），由多到少排序，数量最多的，确定为成交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Courier New"/>
                <w:kern w:val="2"/>
                <w:sz w:val="21"/>
                <w:szCs w:val="24"/>
                <w:lang w:val="en-US" w:eastAsia="zh-CN" w:bidi="ar-SA"/>
              </w:rPr>
            </w:pPr>
            <w:r>
              <w:rPr>
                <w:rFonts w:hint="eastAsia" w:cs="Courier New"/>
                <w:lang w:val="zh-CN"/>
              </w:rPr>
              <w:t>1</w:t>
            </w:r>
            <w:r>
              <w:rPr>
                <w:rFonts w:hint="eastAsia" w:cs="Courier New"/>
              </w:rPr>
              <w:t>4</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kern w:val="2"/>
                <w:sz w:val="21"/>
                <w:szCs w:val="24"/>
                <w:lang w:val="en-US" w:eastAsia="zh-CN" w:bidi="ar-SA"/>
              </w:rPr>
            </w:pPr>
            <w:r>
              <w:rPr>
                <w:rFonts w:hint="eastAsia"/>
              </w:rPr>
              <w:t>信用查询</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ind w:firstLine="342" w:firstLineChars="163"/>
              <w:rPr>
                <w:rFonts w:ascii="宋体" w:hAnsi="宋体" w:cs="宋体"/>
              </w:rPr>
            </w:pPr>
            <w:r>
              <w:rPr>
                <w:rFonts w:hint="eastAsia" w:ascii="宋体" w:hAnsi="宋体" w:cs="宋体"/>
              </w:rPr>
              <w:t>评审时，采购人通过“信用中国”网站(www.creditchina.gov.cn)、中国政府采购网(</w:t>
            </w:r>
            <w:r>
              <w:fldChar w:fldCharType="begin"/>
            </w:r>
            <w:r>
              <w:instrText xml:space="preserve"> HYPERLINK "http://www.ccgp.gov.cn" </w:instrText>
            </w:r>
            <w:r>
              <w:fldChar w:fldCharType="separate"/>
            </w:r>
            <w:r>
              <w:rPr>
                <w:rFonts w:hint="eastAsia" w:cs="宋体"/>
              </w:rPr>
              <w:t>www.ccgp.gov.cn</w:t>
            </w:r>
            <w:r>
              <w:rPr>
                <w:rFonts w:hint="eastAsia" w:cs="宋体"/>
              </w:rPr>
              <w:fldChar w:fldCharType="end"/>
            </w:r>
            <w:r>
              <w:rPr>
                <w:rFonts w:hint="eastAsia" w:ascii="宋体" w:hAnsi="宋体" w:cs="宋体"/>
              </w:rPr>
              <w:t>)查询供应商信用记录，经查询列入失信被执行人、重大税收违法案件当事人名单、禁止参加政府采购活动名单（有效期内的）的，作无效响应处理，无效响应供应商的信用记录查询结果截图将作为项目材料的组成部分。（联合体中标的，联合体成员均须查询）</w:t>
            </w:r>
          </w:p>
          <w:p>
            <w:pPr>
              <w:widowControl/>
              <w:spacing w:line="276" w:lineRule="auto"/>
              <w:ind w:firstLine="210" w:firstLineChars="100"/>
              <w:rPr>
                <w:rFonts w:hint="eastAsia" w:ascii="Times New Roman" w:hAnsi="Times New Roman" w:eastAsia="宋体" w:cs="Times New Roman"/>
                <w:kern w:val="2"/>
                <w:sz w:val="21"/>
                <w:szCs w:val="24"/>
                <w:lang w:val="zh-CN" w:eastAsia="zh-CN" w:bidi="ar-SA"/>
              </w:rPr>
            </w:pPr>
            <w:r>
              <w:rPr>
                <w:rFonts w:hint="eastAsia" w:ascii="宋体" w:hAnsi="宋体" w:cs="宋体"/>
              </w:rPr>
              <w:t>无效响应供应商的信用记录查询结果截图由评审现场工作人员交评审专家。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lang w:val="en-US" w:eastAsia="zh-CN"/>
              </w:rPr>
            </w:pPr>
            <w:r>
              <w:rPr>
                <w:rFonts w:hint="eastAsia" w:cs="Courier New"/>
                <w:lang w:val="en-US" w:eastAsia="zh-CN"/>
              </w:rPr>
              <w:t>15</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widowControl/>
              <w:spacing w:line="276" w:lineRule="auto"/>
              <w:ind w:firstLine="210" w:firstLineChars="100"/>
            </w:pPr>
            <w:r>
              <w:rPr>
                <w:rFonts w:hint="eastAsia"/>
                <w:lang w:eastAsia="zh-CN"/>
              </w:rPr>
              <w:t>询价</w:t>
            </w:r>
            <w:r>
              <w:rPr>
                <w:rFonts w:hint="eastAsia"/>
              </w:rPr>
              <w:t>项目说明</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pPr>
            <w:r>
              <w:rPr>
                <w:rFonts w:hint="eastAsia"/>
              </w:rPr>
              <w:t>本项目采购标的对应的中小企业划分标准所属行业为</w:t>
            </w:r>
            <w:r>
              <w:rPr>
                <w:rFonts w:hint="eastAsia"/>
                <w:color w:val="2F5496"/>
              </w:rPr>
              <w:t>:</w:t>
            </w:r>
            <w:r>
              <w:rPr>
                <w:rFonts w:hint="eastAsia"/>
                <w:b/>
                <w:color w:val="2F5496"/>
              </w:rPr>
              <w:t>工业</w:t>
            </w:r>
            <w:r>
              <w:rPr>
                <w:rFonts w:hint="eastAsia"/>
                <w:color w:val="2F5496"/>
              </w:rPr>
              <w:t>。</w:t>
            </w:r>
          </w:p>
        </w:tc>
      </w:tr>
    </w:tbl>
    <w:p>
      <w:pPr>
        <w:pStyle w:val="5"/>
        <w:keepNext w:val="0"/>
        <w:keepLines w:val="0"/>
        <w:spacing w:before="0" w:after="0" w:line="400" w:lineRule="exact"/>
        <w:jc w:val="center"/>
        <w:rPr>
          <w:rFonts w:hint="eastAsia" w:ascii="黑体"/>
          <w:bCs w:val="0"/>
        </w:rPr>
      </w:pPr>
      <w:bookmarkStart w:id="6" w:name="_Toc31240"/>
      <w:bookmarkStart w:id="7" w:name="_Toc15215"/>
      <w:bookmarkStart w:id="8" w:name="_Toc17067"/>
      <w:bookmarkStart w:id="9" w:name="_Toc24295"/>
      <w:bookmarkStart w:id="10" w:name="_Toc13038"/>
    </w:p>
    <w:p>
      <w:pPr>
        <w:pStyle w:val="5"/>
        <w:keepNext w:val="0"/>
        <w:keepLines w:val="0"/>
        <w:spacing w:before="0" w:after="0" w:line="400" w:lineRule="exact"/>
        <w:jc w:val="center"/>
        <w:rPr>
          <w:rFonts w:hint="eastAsia" w:ascii="黑体"/>
          <w:bCs w:val="0"/>
        </w:rPr>
      </w:pPr>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pageBreakBefore w:val="0"/>
        <w:widowControl w:val="0"/>
        <w:kinsoku/>
        <w:wordWrap/>
        <w:overflowPunct/>
        <w:topLinePunct w:val="0"/>
        <w:autoSpaceDE/>
        <w:autoSpaceDN/>
        <w:bidi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keepNext w:val="0"/>
        <w:keepLines w:val="0"/>
        <w:pageBreakBefore w:val="0"/>
        <w:widowControl w:val="0"/>
        <w:tabs>
          <w:tab w:val="left" w:pos="7665"/>
        </w:tabs>
        <w:kinsoku/>
        <w:wordWrap/>
        <w:overflowPunct/>
        <w:topLinePunct w:val="0"/>
        <w:autoSpaceDE/>
        <w:autoSpaceDN/>
        <w:bidi w:val="0"/>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keepNext w:val="0"/>
        <w:keepLines w:val="0"/>
        <w:pageBreakBefore w:val="0"/>
        <w:widowControl w:val="0"/>
        <w:tabs>
          <w:tab w:val="left" w:pos="7665"/>
        </w:tabs>
        <w:kinsoku/>
        <w:wordWrap/>
        <w:overflowPunct/>
        <w:topLinePunct w:val="0"/>
        <w:autoSpaceDE/>
        <w:autoSpaceDN/>
        <w:bidi w:val="0"/>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6"/>
        <w:keepNext w:val="0"/>
        <w:keepLines w:val="0"/>
        <w:pageBreakBefore w:val="0"/>
        <w:widowControl w:val="0"/>
        <w:kinsoku/>
        <w:wordWrap/>
        <w:overflowPunct/>
        <w:topLinePunct w:val="0"/>
        <w:autoSpaceDE/>
        <w:autoSpaceDN/>
        <w:bidi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keepNext w:val="0"/>
        <w:keepLines w:val="0"/>
        <w:pageBreakBefore w:val="0"/>
        <w:widowControl w:val="0"/>
        <w:tabs>
          <w:tab w:val="left" w:pos="7665"/>
        </w:tabs>
        <w:kinsoku/>
        <w:wordWrap/>
        <w:overflowPunct/>
        <w:topLinePunct w:val="0"/>
        <w:autoSpaceDE/>
        <w:autoSpaceDN/>
        <w:bidi w:val="0"/>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pageBreakBefore w:val="0"/>
        <w:widowControl w:val="0"/>
        <w:kinsoku/>
        <w:wordWrap/>
        <w:overflowPunct/>
        <w:topLinePunct w:val="0"/>
        <w:autoSpaceDE/>
        <w:autoSpaceDN/>
        <w:bidi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keepNext w:val="0"/>
        <w:keepLines w:val="0"/>
        <w:pageBreakBefore w:val="0"/>
        <w:widowControl w:val="0"/>
        <w:tabs>
          <w:tab w:val="left" w:pos="7665"/>
        </w:tabs>
        <w:kinsoku/>
        <w:wordWrap/>
        <w:overflowPunct/>
        <w:topLinePunct w:val="0"/>
        <w:autoSpaceDE/>
        <w:autoSpaceDN/>
        <w:bidi w:val="0"/>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keepNext w:val="0"/>
        <w:keepLines w:val="0"/>
        <w:pageBreakBefore w:val="0"/>
        <w:widowControl w:val="0"/>
        <w:tabs>
          <w:tab w:val="left" w:pos="7665"/>
        </w:tabs>
        <w:kinsoku/>
        <w:wordWrap/>
        <w:overflowPunct/>
        <w:topLinePunct w:val="0"/>
        <w:autoSpaceDE/>
        <w:autoSpaceDN/>
        <w:bidi w:val="0"/>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keepNext w:val="0"/>
        <w:keepLines w:val="0"/>
        <w:pageBreakBefore w:val="0"/>
        <w:widowControl w:val="0"/>
        <w:tabs>
          <w:tab w:val="left" w:pos="7665"/>
        </w:tabs>
        <w:kinsoku/>
        <w:wordWrap/>
        <w:overflowPunct/>
        <w:topLinePunct w:val="0"/>
        <w:autoSpaceDE/>
        <w:autoSpaceDN/>
        <w:bidi w:val="0"/>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keepNext w:val="0"/>
        <w:keepLines w:val="0"/>
        <w:pageBreakBefore w:val="0"/>
        <w:widowControl w:val="0"/>
        <w:tabs>
          <w:tab w:val="left" w:pos="7665"/>
        </w:tabs>
        <w:kinsoku/>
        <w:wordWrap/>
        <w:overflowPunct/>
        <w:topLinePunct w:val="0"/>
        <w:autoSpaceDE/>
        <w:autoSpaceDN/>
        <w:bidi w:val="0"/>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pageBreakBefore w:val="0"/>
        <w:widowControl w:val="0"/>
        <w:kinsoku/>
        <w:wordWrap/>
        <w:overflowPunct/>
        <w:topLinePunct w:val="0"/>
        <w:autoSpaceDE/>
        <w:autoSpaceDN/>
        <w:bidi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keepNext w:val="0"/>
        <w:keepLines w:val="0"/>
        <w:pageBreakBefore w:val="0"/>
        <w:widowControl w:val="0"/>
        <w:tabs>
          <w:tab w:val="left" w:pos="7665"/>
        </w:tabs>
        <w:kinsoku/>
        <w:wordWrap/>
        <w:overflowPunct/>
        <w:topLinePunct w:val="0"/>
        <w:autoSpaceDE/>
        <w:autoSpaceDN/>
        <w:bidi w:val="0"/>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2"/>
        <w:keepNext w:val="0"/>
        <w:keepLines w:val="0"/>
        <w:pageBreakBefore w:val="0"/>
        <w:widowControl w:val="0"/>
        <w:kinsoku/>
        <w:wordWrap/>
        <w:overflowPunct/>
        <w:topLinePunct w:val="0"/>
        <w:autoSpaceDE/>
        <w:autoSpaceDN/>
        <w:bidi w:val="0"/>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2"/>
        <w:keepNext w:val="0"/>
        <w:keepLines w:val="0"/>
        <w:pageBreakBefore w:val="0"/>
        <w:widowControl w:val="0"/>
        <w:kinsoku/>
        <w:wordWrap/>
        <w:overflowPunct/>
        <w:topLinePunct w:val="0"/>
        <w:autoSpaceDE/>
        <w:autoSpaceDN/>
        <w:bidi w:val="0"/>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2"/>
        <w:keepNext w:val="0"/>
        <w:keepLines w:val="0"/>
        <w:pageBreakBefore w:val="0"/>
        <w:widowControl w:val="0"/>
        <w:kinsoku/>
        <w:wordWrap/>
        <w:overflowPunct/>
        <w:topLinePunct w:val="0"/>
        <w:autoSpaceDE/>
        <w:autoSpaceDN/>
        <w:bidi w:val="0"/>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2"/>
        <w:keepNext w:val="0"/>
        <w:keepLines w:val="0"/>
        <w:pageBreakBefore w:val="0"/>
        <w:widowControl w:val="0"/>
        <w:kinsoku/>
        <w:wordWrap/>
        <w:overflowPunct/>
        <w:topLinePunct w:val="0"/>
        <w:autoSpaceDE/>
        <w:autoSpaceDN/>
        <w:bidi w:val="0"/>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2"/>
        <w:keepNext w:val="0"/>
        <w:keepLines w:val="0"/>
        <w:pageBreakBefore w:val="0"/>
        <w:widowControl w:val="0"/>
        <w:kinsoku/>
        <w:wordWrap/>
        <w:overflowPunct/>
        <w:topLinePunct w:val="0"/>
        <w:autoSpaceDE/>
        <w:autoSpaceDN/>
        <w:bidi w:val="0"/>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2"/>
        <w:keepNext w:val="0"/>
        <w:keepLines w:val="0"/>
        <w:pageBreakBefore w:val="0"/>
        <w:widowControl w:val="0"/>
        <w:kinsoku/>
        <w:wordWrap/>
        <w:overflowPunct/>
        <w:topLinePunct w:val="0"/>
        <w:autoSpaceDE/>
        <w:autoSpaceDN/>
        <w:bidi w:val="0"/>
        <w:spacing w:line="400" w:lineRule="exact"/>
        <w:ind w:left="1" w:firstLine="480" w:firstLineChars="200"/>
        <w:rPr>
          <w:rFonts w:hint="eastAsia" w:hAnsi="宋体" w:eastAsia="宋体"/>
          <w:sz w:val="24"/>
          <w:lang w:eastAsia="zh-CN"/>
        </w:rPr>
      </w:pPr>
      <w:r>
        <w:rPr>
          <w:rFonts w:hint="eastAsia"/>
          <w:sz w:val="24"/>
        </w:rPr>
        <w:t>非单一产品采购项目中，多家投标人提供的部分或所有核心产品品牌相同的，视为提供相同品牌产品。</w:t>
      </w:r>
      <w:r>
        <w:rPr>
          <w:rFonts w:hint="eastAsia"/>
          <w:b/>
          <w:bCs/>
          <w:color w:val="FF0000"/>
          <w:sz w:val="24"/>
          <w:lang w:eastAsia="zh-CN"/>
        </w:rPr>
        <w:t>本项目核心产品：</w:t>
      </w:r>
      <w:r>
        <w:rPr>
          <w:rFonts w:hint="eastAsia"/>
          <w:b/>
          <w:bCs/>
          <w:color w:val="FF0000"/>
          <w:sz w:val="24"/>
          <w:u w:val="single"/>
          <w:lang w:val="en-US" w:eastAsia="zh-CN"/>
        </w:rPr>
        <w:t xml:space="preserve">  弯剪刀  </w:t>
      </w:r>
      <w:r>
        <w:rPr>
          <w:rFonts w:hint="eastAsia"/>
          <w:b/>
          <w:bCs/>
          <w:color w:val="FF0000"/>
          <w:sz w:val="24"/>
          <w:lang w:eastAsia="zh-CN"/>
        </w:rPr>
        <w:t>。</w:t>
      </w:r>
    </w:p>
    <w:p>
      <w:pPr>
        <w:keepNext w:val="0"/>
        <w:keepLines w:val="0"/>
        <w:pageBreakBefore w:val="0"/>
        <w:widowControl w:val="0"/>
        <w:kinsoku/>
        <w:wordWrap/>
        <w:overflowPunct/>
        <w:topLinePunct w:val="0"/>
        <w:autoSpaceDE/>
        <w:autoSpaceDN/>
        <w:bidi w:val="0"/>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2"/>
        <w:keepNext w:val="0"/>
        <w:keepLines w:val="0"/>
        <w:pageBreakBefore w:val="0"/>
        <w:widowControl w:val="0"/>
        <w:kinsoku/>
        <w:wordWrap/>
        <w:overflowPunct/>
        <w:topLinePunct w:val="0"/>
        <w:autoSpaceDE/>
        <w:autoSpaceDN/>
        <w:bidi w:val="0"/>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2"/>
        <w:keepNext w:val="0"/>
        <w:keepLines w:val="0"/>
        <w:pageBreakBefore w:val="0"/>
        <w:widowControl w:val="0"/>
        <w:kinsoku/>
        <w:wordWrap/>
        <w:overflowPunct/>
        <w:topLinePunct w:val="0"/>
        <w:autoSpaceDE/>
        <w:autoSpaceDN/>
        <w:bidi w:val="0"/>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2"/>
        <w:keepNext w:val="0"/>
        <w:keepLines w:val="0"/>
        <w:pageBreakBefore w:val="0"/>
        <w:widowControl w:val="0"/>
        <w:kinsoku/>
        <w:wordWrap/>
        <w:overflowPunct/>
        <w:topLinePunct w:val="0"/>
        <w:autoSpaceDE/>
        <w:autoSpaceDN/>
        <w:bidi w:val="0"/>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2"/>
        <w:keepNext w:val="0"/>
        <w:keepLines w:val="0"/>
        <w:pageBreakBefore w:val="0"/>
        <w:widowControl w:val="0"/>
        <w:kinsoku/>
        <w:wordWrap/>
        <w:overflowPunct/>
        <w:topLinePunct w:val="0"/>
        <w:autoSpaceDE/>
        <w:autoSpaceDN/>
        <w:bidi w:val="0"/>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2"/>
        <w:keepNext w:val="0"/>
        <w:keepLines w:val="0"/>
        <w:pageBreakBefore w:val="0"/>
        <w:widowControl w:val="0"/>
        <w:kinsoku/>
        <w:wordWrap/>
        <w:overflowPunct/>
        <w:topLinePunct w:val="0"/>
        <w:autoSpaceDE/>
        <w:autoSpaceDN/>
        <w:bidi w:val="0"/>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2"/>
        <w:keepNext w:val="0"/>
        <w:keepLines w:val="0"/>
        <w:pageBreakBefore w:val="0"/>
        <w:widowControl w:val="0"/>
        <w:kinsoku/>
        <w:wordWrap/>
        <w:overflowPunct/>
        <w:topLinePunct w:val="0"/>
        <w:autoSpaceDE/>
        <w:autoSpaceDN/>
        <w:bidi w:val="0"/>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2"/>
        <w:keepNext w:val="0"/>
        <w:keepLines w:val="0"/>
        <w:pageBreakBefore w:val="0"/>
        <w:widowControl w:val="0"/>
        <w:kinsoku/>
        <w:wordWrap/>
        <w:overflowPunct/>
        <w:topLinePunct w:val="0"/>
        <w:autoSpaceDE/>
        <w:autoSpaceDN/>
        <w:bidi w:val="0"/>
        <w:spacing w:line="400" w:lineRule="exact"/>
        <w:ind w:left="1" w:firstLine="480" w:firstLineChars="200"/>
        <w:rPr>
          <w:rFonts w:hint="eastAsia" w:hAnsi="宋体"/>
          <w:sz w:val="24"/>
        </w:rPr>
      </w:pPr>
      <w:r>
        <w:rPr>
          <w:rFonts w:hint="eastAsia" w:hAnsi="宋体"/>
          <w:sz w:val="24"/>
        </w:rPr>
        <w:t>本项目政府采购活动中需要依法回避的采购人员是指采购人内部负责采购项目的具体经办工作人员和直接分管采购项目的负责人。本项目政府采购活动中需要依法回避的相关人员是指</w:t>
      </w:r>
      <w:r>
        <w:rPr>
          <w:rFonts w:hint="eastAsia" w:hAnsi="宋体"/>
          <w:sz w:val="24"/>
          <w:lang w:eastAsia="zh-CN"/>
        </w:rPr>
        <w:t>询价</w:t>
      </w:r>
      <w:r>
        <w:rPr>
          <w:rFonts w:hint="eastAsia" w:hAnsi="宋体"/>
          <w:sz w:val="24"/>
        </w:rPr>
        <w:t>小组成员。</w:t>
      </w:r>
    </w:p>
    <w:p>
      <w:pPr>
        <w:pStyle w:val="22"/>
        <w:keepNext w:val="0"/>
        <w:keepLines w:val="0"/>
        <w:pageBreakBefore w:val="0"/>
        <w:widowControl w:val="0"/>
        <w:kinsoku/>
        <w:wordWrap/>
        <w:overflowPunct/>
        <w:topLinePunct w:val="0"/>
        <w:autoSpaceDE/>
        <w:autoSpaceDN/>
        <w:bidi w:val="0"/>
        <w:spacing w:line="400" w:lineRule="exact"/>
        <w:ind w:left="1" w:firstLine="480" w:firstLineChars="200"/>
        <w:rPr>
          <w:rFonts w:hint="eastAsia" w:hAnsi="宋体"/>
          <w:color w:val="FF0000"/>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2"/>
        <w:keepNext w:val="0"/>
        <w:keepLines w:val="0"/>
        <w:pageBreakBefore w:val="0"/>
        <w:widowControl w:val="0"/>
        <w:kinsoku/>
        <w:wordWrap/>
        <w:overflowPunct/>
        <w:topLinePunct w:val="0"/>
        <w:autoSpaceDE/>
        <w:autoSpaceDN/>
        <w:bidi w:val="0"/>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2"/>
        <w:keepNext w:val="0"/>
        <w:keepLines w:val="0"/>
        <w:pageBreakBefore w:val="0"/>
        <w:widowControl w:val="0"/>
        <w:kinsoku/>
        <w:wordWrap/>
        <w:overflowPunct/>
        <w:topLinePunct w:val="0"/>
        <w:autoSpaceDE/>
        <w:autoSpaceDN/>
        <w:bidi w:val="0"/>
        <w:spacing w:line="400" w:lineRule="exact"/>
        <w:ind w:left="1" w:firstLine="480" w:firstLineChars="200"/>
        <w:rPr>
          <w:rFonts w:hint="eastAsia" w:hAnsi="宋体"/>
          <w:sz w:val="24"/>
        </w:rPr>
      </w:pPr>
      <w:r>
        <w:rPr>
          <w:rFonts w:hint="eastAsia" w:hAnsi="宋体"/>
          <w:sz w:val="24"/>
        </w:rPr>
        <w:t>本项目不接受联合体参与采购活动。</w:t>
      </w:r>
    </w:p>
    <w:p>
      <w:pPr>
        <w:keepNext w:val="0"/>
        <w:keepLines w:val="0"/>
        <w:pageBreakBefore w:val="0"/>
        <w:widowControl w:val="0"/>
        <w:kinsoku/>
        <w:wordWrap/>
        <w:overflowPunct/>
        <w:topLinePunct w:val="0"/>
        <w:autoSpaceDE/>
        <w:autoSpaceDN/>
        <w:bidi w:val="0"/>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keepNext w:val="0"/>
        <w:keepLines w:val="0"/>
        <w:pageBreakBefore w:val="0"/>
        <w:widowControl w:val="0"/>
        <w:kinsoku/>
        <w:wordWrap/>
        <w:overflowPunct/>
        <w:topLinePunct w:val="0"/>
        <w:autoSpaceDE/>
        <w:autoSpaceDN/>
        <w:bidi w:val="0"/>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keepNext w:val="0"/>
        <w:keepLines w:val="0"/>
        <w:pageBreakBefore w:val="0"/>
        <w:widowControl w:val="0"/>
        <w:kinsoku/>
        <w:wordWrap/>
        <w:overflowPunct/>
        <w:topLinePunct w:val="0"/>
        <w:autoSpaceDE/>
        <w:autoSpaceDN/>
        <w:bidi w:val="0"/>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keepNext w:val="0"/>
        <w:keepLines w:val="0"/>
        <w:pageBreakBefore w:val="0"/>
        <w:widowControl w:val="0"/>
        <w:kinsoku/>
        <w:wordWrap/>
        <w:overflowPunct/>
        <w:topLinePunct w:val="0"/>
        <w:autoSpaceDE/>
        <w:autoSpaceDN/>
        <w:bidi w:val="0"/>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keepNext w:val="0"/>
        <w:keepLines w:val="0"/>
        <w:pageBreakBefore w:val="0"/>
        <w:widowControl w:val="0"/>
        <w:kinsoku/>
        <w:wordWrap/>
        <w:overflowPunct/>
        <w:topLinePunct w:val="0"/>
        <w:autoSpaceDE/>
        <w:autoSpaceDN/>
        <w:bidi w:val="0"/>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keepNext w:val="0"/>
        <w:keepLines w:val="0"/>
        <w:pageBreakBefore w:val="0"/>
        <w:widowControl w:val="0"/>
        <w:kinsoku/>
        <w:wordWrap/>
        <w:overflowPunct/>
        <w:topLinePunct w:val="0"/>
        <w:autoSpaceDE/>
        <w:autoSpaceDN/>
        <w:bidi w:val="0"/>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keepNext w:val="0"/>
        <w:keepLines w:val="0"/>
        <w:pageBreakBefore w:val="0"/>
        <w:widowControl w:val="0"/>
        <w:kinsoku/>
        <w:wordWrap/>
        <w:overflowPunct/>
        <w:topLinePunct w:val="0"/>
        <w:autoSpaceDE/>
        <w:autoSpaceDN/>
        <w:bidi w:val="0"/>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pageBreakBefore w:val="0"/>
        <w:widowControl w:val="0"/>
        <w:kinsoku/>
        <w:wordWrap/>
        <w:overflowPunct/>
        <w:topLinePunct w:val="0"/>
        <w:autoSpaceDE/>
        <w:autoSpaceDN/>
        <w:bidi w:val="0"/>
        <w:spacing w:before="0" w:after="0" w:line="400" w:lineRule="exact"/>
        <w:ind w:firstLine="480" w:firstLineChars="200"/>
        <w:rPr>
          <w:rFonts w:hint="eastAsia" w:ascii="宋体" w:hAnsi="宋体" w:eastAsia="宋体" w:cs="Times New Roman"/>
          <w:b/>
          <w:bCs/>
          <w:sz w:val="24"/>
        </w:rPr>
      </w:pPr>
    </w:p>
    <w:p>
      <w:pPr>
        <w:pStyle w:val="6"/>
        <w:keepNext w:val="0"/>
        <w:keepLines w:val="0"/>
        <w:pageBreakBefore w:val="0"/>
        <w:widowControl w:val="0"/>
        <w:kinsoku/>
        <w:wordWrap/>
        <w:overflowPunct/>
        <w:topLinePunct w:val="0"/>
        <w:autoSpaceDE/>
        <w:autoSpaceDN/>
        <w:bidi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keepNext w:val="0"/>
        <w:keepLines w:val="0"/>
        <w:pageBreakBefore w:val="0"/>
        <w:widowControl w:val="0"/>
        <w:tabs>
          <w:tab w:val="left" w:pos="720"/>
        </w:tabs>
        <w:kinsoku/>
        <w:wordWrap/>
        <w:overflowPunct/>
        <w:topLinePunct w:val="0"/>
        <w:autoSpaceDE/>
        <w:autoSpaceDN/>
        <w:bidi w:val="0"/>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keepNext w:val="0"/>
        <w:keepLines w:val="0"/>
        <w:pageBreakBefore w:val="0"/>
        <w:widowControl w:val="0"/>
        <w:tabs>
          <w:tab w:val="left" w:pos="7665"/>
        </w:tabs>
        <w:kinsoku/>
        <w:wordWrap/>
        <w:overflowPunct/>
        <w:topLinePunct w:val="0"/>
        <w:autoSpaceDE/>
        <w:autoSpaceDN/>
        <w:bidi w:val="0"/>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6"/>
        <w:keepNext w:val="0"/>
        <w:keepLines w:val="0"/>
        <w:pageBreakBefore w:val="0"/>
        <w:widowControl w:val="0"/>
        <w:kinsoku/>
        <w:wordWrap/>
        <w:overflowPunct/>
        <w:topLinePunct w:val="0"/>
        <w:autoSpaceDE/>
        <w:autoSpaceDN/>
        <w:bidi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keepNext w:val="0"/>
        <w:keepLines w:val="0"/>
        <w:pageBreakBefore w:val="0"/>
        <w:widowControl w:val="0"/>
        <w:tabs>
          <w:tab w:val="left" w:pos="720"/>
        </w:tabs>
        <w:kinsoku/>
        <w:wordWrap/>
        <w:overflowPunct/>
        <w:topLinePunct w:val="0"/>
        <w:autoSpaceDE/>
        <w:autoSpaceDN/>
        <w:bidi w:val="0"/>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keepNext w:val="0"/>
        <w:keepLines w:val="0"/>
        <w:pageBreakBefore w:val="0"/>
        <w:widowControl w:val="0"/>
        <w:tabs>
          <w:tab w:val="left" w:pos="720"/>
        </w:tabs>
        <w:kinsoku/>
        <w:wordWrap/>
        <w:overflowPunct/>
        <w:topLinePunct w:val="0"/>
        <w:autoSpaceDE/>
        <w:autoSpaceDN/>
        <w:bidi w:val="0"/>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keepNext w:val="0"/>
        <w:keepLines w:val="0"/>
        <w:pageBreakBefore w:val="0"/>
        <w:widowControl w:val="0"/>
        <w:tabs>
          <w:tab w:val="left" w:pos="720"/>
        </w:tabs>
        <w:kinsoku/>
        <w:wordWrap/>
        <w:overflowPunct/>
        <w:topLinePunct w:val="0"/>
        <w:autoSpaceDE/>
        <w:autoSpaceDN/>
        <w:bidi w:val="0"/>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6"/>
        <w:keepNext w:val="0"/>
        <w:keepLines w:val="0"/>
        <w:pageBreakBefore w:val="0"/>
        <w:widowControl w:val="0"/>
        <w:kinsoku/>
        <w:wordWrap/>
        <w:overflowPunct/>
        <w:topLinePunct w:val="0"/>
        <w:autoSpaceDE/>
        <w:autoSpaceDN/>
        <w:bidi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keepNext w:val="0"/>
        <w:keepLines w:val="0"/>
        <w:pageBreakBefore w:val="0"/>
        <w:widowControl w:val="0"/>
        <w:kinsoku/>
        <w:wordWrap/>
        <w:overflowPunct/>
        <w:topLinePunct w:val="0"/>
        <w:autoSpaceDE/>
        <w:autoSpaceDN/>
        <w:bidi w:val="0"/>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keepNext w:val="0"/>
        <w:keepLines w:val="0"/>
        <w:pageBreakBefore w:val="0"/>
        <w:widowControl w:val="0"/>
        <w:kinsoku/>
        <w:wordWrap/>
        <w:overflowPunct/>
        <w:topLinePunct w:val="0"/>
        <w:autoSpaceDE/>
        <w:autoSpaceDN/>
        <w:bidi w:val="0"/>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pageBreakBefore w:val="0"/>
        <w:widowControl w:val="0"/>
        <w:kinsoku/>
        <w:wordWrap/>
        <w:overflowPunct/>
        <w:topLinePunct w:val="0"/>
        <w:autoSpaceDE/>
        <w:autoSpaceDN/>
        <w:bidi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pageBreakBefore w:val="0"/>
        <w:widowControl w:val="0"/>
        <w:kinsoku/>
        <w:wordWrap/>
        <w:overflowPunct/>
        <w:topLinePunct w:val="0"/>
        <w:autoSpaceDE/>
        <w:autoSpaceDN/>
        <w:bidi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keepNext w:val="0"/>
        <w:keepLines w:val="0"/>
        <w:pageBreakBefore w:val="0"/>
        <w:widowControl w:val="0"/>
        <w:kinsoku/>
        <w:wordWrap/>
        <w:overflowPunct/>
        <w:topLinePunct w:val="0"/>
        <w:autoSpaceDE/>
        <w:autoSpaceDN/>
        <w:bidi w:val="0"/>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6"/>
        <w:keepNext w:val="0"/>
        <w:keepLines w:val="0"/>
        <w:pageBreakBefore w:val="0"/>
        <w:widowControl w:val="0"/>
        <w:kinsoku/>
        <w:wordWrap/>
        <w:overflowPunct/>
        <w:topLinePunct w:val="0"/>
        <w:autoSpaceDE/>
        <w:autoSpaceDN/>
        <w:bidi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keepNext w:val="0"/>
        <w:keepLines w:val="0"/>
        <w:pageBreakBefore w:val="0"/>
        <w:widowControl w:val="0"/>
        <w:kinsoku/>
        <w:wordWrap/>
        <w:overflowPunct/>
        <w:topLinePunct w:val="0"/>
        <w:autoSpaceDE/>
        <w:autoSpaceDN/>
        <w:bidi w:val="0"/>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keepNext w:val="0"/>
        <w:keepLines w:val="0"/>
        <w:pageBreakBefore w:val="0"/>
        <w:widowControl w:val="0"/>
        <w:kinsoku/>
        <w:wordWrap/>
        <w:overflowPunct/>
        <w:topLinePunct w:val="0"/>
        <w:autoSpaceDE/>
        <w:autoSpaceDN/>
        <w:bidi w:val="0"/>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pageBreakBefore w:val="0"/>
        <w:widowControl w:val="0"/>
        <w:kinsoku/>
        <w:wordWrap/>
        <w:overflowPunct/>
        <w:topLinePunct w:val="0"/>
        <w:autoSpaceDE/>
        <w:autoSpaceDN/>
        <w:bidi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keepNext w:val="0"/>
        <w:keepLines w:val="0"/>
        <w:pageBreakBefore w:val="0"/>
        <w:widowControl w:val="0"/>
        <w:kinsoku/>
        <w:wordWrap/>
        <w:overflowPunct/>
        <w:topLinePunct w:val="0"/>
        <w:autoSpaceDE/>
        <w:autoSpaceDN/>
        <w:bidi w:val="0"/>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keepNext w:val="0"/>
        <w:keepLines w:val="0"/>
        <w:pageBreakBefore w:val="0"/>
        <w:widowControl w:val="0"/>
        <w:kinsoku/>
        <w:wordWrap/>
        <w:overflowPunct/>
        <w:topLinePunct w:val="0"/>
        <w:autoSpaceDE/>
        <w:autoSpaceDN/>
        <w:bidi w:val="0"/>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keepNext w:val="0"/>
        <w:keepLines w:val="0"/>
        <w:pageBreakBefore w:val="0"/>
        <w:widowControl w:val="0"/>
        <w:kinsoku/>
        <w:wordWrap/>
        <w:overflowPunct/>
        <w:topLinePunct w:val="0"/>
        <w:autoSpaceDE/>
        <w:autoSpaceDN/>
        <w:bidi w:val="0"/>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keepNext w:val="0"/>
        <w:keepLines w:val="0"/>
        <w:pageBreakBefore w:val="0"/>
        <w:widowControl w:val="0"/>
        <w:kinsoku/>
        <w:wordWrap/>
        <w:overflowPunct/>
        <w:topLinePunct w:val="0"/>
        <w:autoSpaceDE/>
        <w:autoSpaceDN/>
        <w:bidi w:val="0"/>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keepNext w:val="0"/>
        <w:keepLines w:val="0"/>
        <w:pageBreakBefore w:val="0"/>
        <w:widowControl w:val="0"/>
        <w:kinsoku/>
        <w:wordWrap/>
        <w:overflowPunct/>
        <w:topLinePunct w:val="0"/>
        <w:autoSpaceDE/>
        <w:autoSpaceDN/>
        <w:bidi w:val="0"/>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keepNext w:val="0"/>
        <w:keepLines w:val="0"/>
        <w:pageBreakBefore w:val="0"/>
        <w:widowControl w:val="0"/>
        <w:kinsoku/>
        <w:wordWrap/>
        <w:overflowPunct/>
        <w:topLinePunct w:val="0"/>
        <w:autoSpaceDE/>
        <w:autoSpaceDN/>
        <w:bidi w:val="0"/>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keepNext w:val="0"/>
        <w:keepLines w:val="0"/>
        <w:pageBreakBefore w:val="0"/>
        <w:widowControl w:val="0"/>
        <w:kinsoku/>
        <w:wordWrap/>
        <w:overflowPunct/>
        <w:topLinePunct w:val="0"/>
        <w:autoSpaceDE/>
        <w:autoSpaceDN/>
        <w:bidi w:val="0"/>
        <w:spacing w:line="400" w:lineRule="exact"/>
        <w:ind w:firstLine="470" w:firstLineChars="196"/>
        <w:rPr>
          <w:rFonts w:hint="eastAsia" w:ascii="宋体" w:hAnsi="宋体" w:eastAsia="宋体" w:cs="宋体"/>
          <w:b/>
          <w:sz w:val="24"/>
        </w:rPr>
      </w:pPr>
      <w:r>
        <w:rPr>
          <w:rFonts w:hint="eastAsia" w:ascii="宋体" w:hAnsi="宋体" w:eastAsia="宋体" w:cs="宋体"/>
          <w:b/>
          <w:sz w:val="24"/>
        </w:rPr>
        <w:t>17.响应文件的编制和签署</w:t>
      </w:r>
    </w:p>
    <w:p>
      <w:pPr>
        <w:keepNext w:val="0"/>
        <w:keepLines w:val="0"/>
        <w:pageBreakBefore w:val="0"/>
        <w:widowControl w:val="0"/>
        <w:kinsoku/>
        <w:wordWrap/>
        <w:overflowPunct/>
        <w:topLinePunct w:val="0"/>
        <w:autoSpaceDE/>
        <w:autoSpaceDN/>
        <w:bidi w:val="0"/>
        <w:spacing w:line="400" w:lineRule="exact"/>
        <w:ind w:firstLine="470" w:firstLineChars="196"/>
        <w:rPr>
          <w:rFonts w:hint="eastAsia" w:ascii="宋体" w:hAnsi="宋体" w:eastAsia="宋体" w:cs="宋体"/>
          <w:sz w:val="24"/>
        </w:rPr>
      </w:pPr>
      <w:r>
        <w:rPr>
          <w:rFonts w:hint="eastAsia" w:ascii="宋体" w:hAnsi="宋体" w:eastAsia="宋体" w:cs="宋体"/>
          <w:sz w:val="24"/>
        </w:rPr>
        <w:t>17.1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p>
    <w:p>
      <w:pPr>
        <w:keepNext w:val="0"/>
        <w:keepLines w:val="0"/>
        <w:pageBreakBefore w:val="0"/>
        <w:widowControl w:val="0"/>
        <w:kinsoku/>
        <w:wordWrap/>
        <w:overflowPunct/>
        <w:topLinePunct w:val="0"/>
        <w:autoSpaceDE/>
        <w:autoSpaceDN/>
        <w:bidi w:val="0"/>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w:t>
      </w:r>
      <w:r>
        <w:rPr>
          <w:rFonts w:hint="eastAsia" w:ascii="宋体" w:hAnsi="宋体" w:eastAsia="宋体" w:cs="宋体"/>
          <w:color w:val="auto"/>
          <w:sz w:val="24"/>
        </w:rPr>
        <w:t>一式2份</w:t>
      </w:r>
      <w:r>
        <w:rPr>
          <w:rFonts w:hint="eastAsia" w:ascii="宋体" w:hAnsi="宋体" w:eastAsia="宋体" w:cs="宋体"/>
          <w:sz w:val="24"/>
        </w:rPr>
        <w:t>，单独密封，与资格性响应文件和其他响应文件一并提交。</w:t>
      </w:r>
    </w:p>
    <w:p>
      <w:pPr>
        <w:keepNext w:val="0"/>
        <w:keepLines w:val="0"/>
        <w:pageBreakBefore w:val="0"/>
        <w:widowControl w:val="0"/>
        <w:kinsoku/>
        <w:wordWrap/>
        <w:overflowPunct/>
        <w:topLinePunct w:val="0"/>
        <w:autoSpaceDE/>
        <w:autoSpaceDN/>
        <w:bidi w:val="0"/>
        <w:spacing w:line="400" w:lineRule="exact"/>
        <w:ind w:firstLine="470" w:firstLineChars="196"/>
        <w:rPr>
          <w:rFonts w:hint="eastAsia" w:ascii="宋体" w:hAnsi="宋体" w:eastAsia="宋体" w:cs="宋体"/>
          <w:sz w:val="24"/>
        </w:rPr>
      </w:pPr>
      <w:r>
        <w:rPr>
          <w:rFonts w:hint="eastAsia" w:ascii="宋体" w:hAnsi="宋体" w:eastAsia="宋体" w:cs="宋体"/>
          <w:sz w:val="24"/>
        </w:rPr>
        <w:t>17.3响应文件需打印或用不褪色、不变质的墨水书写，并由供应商的法定代表人或其授权代表在规定签章处签字或盖章。副本可采用正本的复印件。</w:t>
      </w:r>
    </w:p>
    <w:p>
      <w:pPr>
        <w:keepNext w:val="0"/>
        <w:keepLines w:val="0"/>
        <w:pageBreakBefore w:val="0"/>
        <w:widowControl w:val="0"/>
        <w:tabs>
          <w:tab w:val="left" w:pos="1095"/>
        </w:tabs>
        <w:kinsoku/>
        <w:wordWrap/>
        <w:overflowPunct/>
        <w:topLinePunct w:val="0"/>
        <w:autoSpaceDE/>
        <w:autoSpaceDN/>
        <w:bidi w:val="0"/>
        <w:spacing w:line="400" w:lineRule="exact"/>
        <w:ind w:firstLine="460" w:firstLineChars="192"/>
        <w:rPr>
          <w:rFonts w:hint="eastAsia" w:ascii="宋体" w:hAnsi="宋体" w:eastAsia="宋体" w:cs="宋体"/>
          <w:sz w:val="24"/>
        </w:rPr>
      </w:pPr>
      <w:r>
        <w:rPr>
          <w:rFonts w:hint="eastAsia" w:ascii="宋体" w:hAnsi="宋体" w:eastAsia="宋体" w:cs="宋体"/>
          <w:sz w:val="24"/>
        </w:rPr>
        <w:t>17.4响应文件的打印和书写应清楚工整，任何行间插字、涂改或增删，必须由供应商的法定代表人或其授权代表签字并盖供应商公章。字迹潦草、表达不清或可能导致非唯一理解的响应文件可能被视为无效。</w:t>
      </w:r>
    </w:p>
    <w:p>
      <w:pPr>
        <w:keepNext w:val="0"/>
        <w:keepLines w:val="0"/>
        <w:pageBreakBefore w:val="0"/>
        <w:widowControl w:val="0"/>
        <w:tabs>
          <w:tab w:val="left" w:pos="1080"/>
        </w:tabs>
        <w:kinsoku/>
        <w:wordWrap/>
        <w:overflowPunct/>
        <w:topLinePunct w:val="0"/>
        <w:autoSpaceDE/>
        <w:autoSpaceDN/>
        <w:bidi w:val="0"/>
        <w:spacing w:line="400" w:lineRule="exact"/>
        <w:ind w:firstLine="460" w:firstLineChars="192"/>
        <w:rPr>
          <w:rFonts w:hint="eastAsia" w:ascii="宋体" w:hAnsi="宋体" w:eastAsia="宋体" w:cs="宋体"/>
          <w:sz w:val="24"/>
        </w:rPr>
      </w:pPr>
      <w:r>
        <w:rPr>
          <w:rFonts w:hint="eastAsia" w:ascii="宋体" w:hAnsi="宋体" w:eastAsia="宋体" w:cs="宋体"/>
          <w:sz w:val="24"/>
        </w:rPr>
        <w:t>17.5</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keepNext w:val="0"/>
        <w:keepLines w:val="0"/>
        <w:pageBreakBefore w:val="0"/>
        <w:widowControl w:val="0"/>
        <w:tabs>
          <w:tab w:val="left" w:pos="1080"/>
        </w:tabs>
        <w:kinsoku/>
        <w:wordWrap/>
        <w:overflowPunct/>
        <w:topLinePunct w:val="0"/>
        <w:autoSpaceDE/>
        <w:autoSpaceDN/>
        <w:bidi w:val="0"/>
        <w:spacing w:line="400" w:lineRule="exact"/>
        <w:ind w:firstLine="460" w:firstLineChars="192"/>
        <w:rPr>
          <w:rFonts w:hint="eastAsia" w:ascii="宋体" w:hAnsi="宋体" w:eastAsia="宋体" w:cs="宋体"/>
          <w:sz w:val="24"/>
        </w:rPr>
      </w:pPr>
      <w:r>
        <w:rPr>
          <w:rFonts w:hint="eastAsia" w:ascii="宋体" w:hAnsi="宋体" w:eastAsia="宋体" w:cs="宋体"/>
          <w:sz w:val="24"/>
        </w:rPr>
        <w:t>17.6响应文件正本和副本需要逐页编目编码。</w:t>
      </w:r>
    </w:p>
    <w:p>
      <w:pPr>
        <w:keepNext w:val="0"/>
        <w:keepLines w:val="0"/>
        <w:pageBreakBefore w:val="0"/>
        <w:widowControl w:val="0"/>
        <w:tabs>
          <w:tab w:val="left" w:pos="1080"/>
        </w:tabs>
        <w:kinsoku/>
        <w:wordWrap/>
        <w:overflowPunct/>
        <w:topLinePunct w:val="0"/>
        <w:autoSpaceDE/>
        <w:autoSpaceDN/>
        <w:bidi w:val="0"/>
        <w:spacing w:line="400" w:lineRule="exact"/>
        <w:ind w:firstLine="460" w:firstLineChars="192"/>
        <w:rPr>
          <w:rFonts w:hint="eastAsia" w:ascii="宋体" w:hAnsi="宋体" w:eastAsia="宋体" w:cs="宋体"/>
          <w:sz w:val="24"/>
        </w:rPr>
      </w:pPr>
      <w:r>
        <w:rPr>
          <w:rFonts w:hint="eastAsia" w:ascii="宋体" w:hAnsi="宋体" w:eastAsia="宋体" w:cs="宋体"/>
          <w:sz w:val="24"/>
        </w:rPr>
        <w:t>17.7</w:t>
      </w:r>
      <w:r>
        <w:rPr>
          <w:rFonts w:hint="eastAsia" w:ascii="宋体" w:hAnsi="宋体" w:eastAsia="宋体" w:cs="宋体"/>
          <w:b/>
          <w:sz w:val="24"/>
        </w:rPr>
        <w:t>（实质性要求）</w:t>
      </w:r>
      <w:r>
        <w:rPr>
          <w:rFonts w:hint="eastAsia" w:ascii="宋体" w:hAnsi="宋体" w:eastAsia="宋体" w:cs="宋体"/>
          <w:sz w:val="24"/>
        </w:rPr>
        <w:t>响应文件正本和副本应当采用胶装方式装订成册，不得散装或者合页装订。</w:t>
      </w:r>
    </w:p>
    <w:p>
      <w:pPr>
        <w:keepNext w:val="0"/>
        <w:keepLines w:val="0"/>
        <w:pageBreakBefore w:val="0"/>
        <w:widowControl w:val="0"/>
        <w:tabs>
          <w:tab w:val="left" w:pos="1080"/>
        </w:tabs>
        <w:kinsoku/>
        <w:wordWrap/>
        <w:overflowPunct/>
        <w:topLinePunct w:val="0"/>
        <w:autoSpaceDE/>
        <w:autoSpaceDN/>
        <w:bidi w:val="0"/>
        <w:spacing w:line="400" w:lineRule="exact"/>
        <w:ind w:firstLine="460" w:firstLineChars="192"/>
        <w:rPr>
          <w:rFonts w:hint="eastAsia" w:ascii="宋体" w:hAnsi="宋体" w:eastAsia="宋体" w:cs="宋体"/>
          <w:sz w:val="24"/>
        </w:rPr>
      </w:pPr>
      <w:r>
        <w:rPr>
          <w:rFonts w:hint="eastAsia" w:ascii="宋体" w:hAnsi="宋体" w:eastAsia="宋体" w:cs="宋体"/>
          <w:sz w:val="24"/>
        </w:rPr>
        <w:t>17.8</w:t>
      </w:r>
      <w:r>
        <w:rPr>
          <w:rFonts w:hint="eastAsia" w:ascii="宋体" w:hAnsi="宋体" w:eastAsia="宋体" w:cs="宋体"/>
          <w:b/>
          <w:sz w:val="24"/>
        </w:rPr>
        <w:t>（实质性要求）</w:t>
      </w:r>
      <w:r>
        <w:rPr>
          <w:rFonts w:hint="eastAsia" w:ascii="宋体" w:hAnsi="宋体" w:eastAsia="宋体" w:cs="宋体"/>
          <w:sz w:val="24"/>
        </w:rPr>
        <w:t>响应文件应根据询价通知书的要求制作，签署、盖章。（按照《四川省政府采购评审工作规程（修订）》规范）</w:t>
      </w:r>
    </w:p>
    <w:p>
      <w:pPr>
        <w:keepNext w:val="0"/>
        <w:keepLines w:val="0"/>
        <w:pageBreakBefore w:val="0"/>
        <w:widowControl w:val="0"/>
        <w:tabs>
          <w:tab w:val="left" w:pos="1080"/>
        </w:tabs>
        <w:kinsoku/>
        <w:wordWrap/>
        <w:overflowPunct/>
        <w:topLinePunct w:val="0"/>
        <w:autoSpaceDE/>
        <w:autoSpaceDN/>
        <w:bidi w:val="0"/>
        <w:spacing w:line="400" w:lineRule="exact"/>
        <w:ind w:firstLine="460" w:firstLineChars="192"/>
        <w:rPr>
          <w:rFonts w:hint="eastAsia" w:ascii="宋体" w:hAnsi="宋体" w:eastAsia="宋体" w:cs="宋体"/>
          <w:sz w:val="24"/>
        </w:rPr>
      </w:pPr>
      <w:r>
        <w:rPr>
          <w:rFonts w:hint="eastAsia" w:ascii="宋体" w:hAnsi="宋体" w:eastAsia="宋体" w:cs="宋体"/>
          <w:sz w:val="24"/>
        </w:rPr>
        <w:t>17.9响应文件统一用A4幅面纸印制，除另有规定外。</w:t>
      </w:r>
    </w:p>
    <w:p>
      <w:pPr>
        <w:keepNext w:val="0"/>
        <w:keepLines w:val="0"/>
        <w:pageBreakBefore w:val="0"/>
        <w:widowControl w:val="0"/>
        <w:tabs>
          <w:tab w:val="left" w:pos="1080"/>
        </w:tabs>
        <w:kinsoku/>
        <w:wordWrap/>
        <w:overflowPunct/>
        <w:topLinePunct w:val="0"/>
        <w:autoSpaceDE/>
        <w:autoSpaceDN/>
        <w:bidi w:val="0"/>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keepNext w:val="0"/>
        <w:keepLines w:val="0"/>
        <w:pageBreakBefore w:val="0"/>
        <w:widowControl w:val="0"/>
        <w:kinsoku/>
        <w:wordWrap/>
        <w:overflowPunct/>
        <w:topLinePunct w:val="0"/>
        <w:autoSpaceDE/>
        <w:autoSpaceDN/>
        <w:bidi w:val="0"/>
        <w:spacing w:line="400" w:lineRule="exact"/>
        <w:ind w:firstLine="480"/>
        <w:rPr>
          <w:rFonts w:hint="eastAsia" w:ascii="宋体" w:hAnsi="宋体" w:eastAsia="宋体" w:cs="Times New Roman"/>
          <w:sz w:val="24"/>
        </w:rPr>
      </w:pPr>
      <w:r>
        <w:rPr>
          <w:rFonts w:hint="eastAsia" w:ascii="宋体" w:hAnsi="宋体" w:eastAsia="宋体" w:cs="Times New Roman"/>
          <w:sz w:val="24"/>
        </w:rPr>
        <w:t>18.1 供应商应将资格性响应文件和其他响应文件（1正2副）、报价表、分别封装在不同的密封袋内，不得混装。</w:t>
      </w:r>
    </w:p>
    <w:p>
      <w:pPr>
        <w:keepNext w:val="0"/>
        <w:keepLines w:val="0"/>
        <w:pageBreakBefore w:val="0"/>
        <w:widowControl w:val="0"/>
        <w:kinsoku/>
        <w:wordWrap/>
        <w:overflowPunct/>
        <w:topLinePunct w:val="0"/>
        <w:autoSpaceDE/>
        <w:autoSpaceDN/>
        <w:bidi w:val="0"/>
        <w:spacing w:line="400" w:lineRule="exact"/>
        <w:ind w:firstLine="480"/>
        <w:rPr>
          <w:rFonts w:hint="eastAsia" w:ascii="宋体" w:hAnsi="宋体" w:eastAsia="宋体" w:cs="Times New Roman"/>
          <w:sz w:val="24"/>
        </w:rPr>
      </w:pPr>
      <w:r>
        <w:rPr>
          <w:rFonts w:hint="eastAsia" w:ascii="宋体" w:hAnsi="宋体" w:eastAsia="宋体" w:cs="Times New Roman"/>
          <w:sz w:val="24"/>
        </w:rPr>
        <w:t>18.2 响应文件密封袋的最外层应清楚地标明“资格性响应文件和其他响应文件（1正2副）”、“报价表”、字样，并注明供应商名称、采购项目名称及编号、投标日期。</w:t>
      </w:r>
    </w:p>
    <w:p>
      <w:pPr>
        <w:keepNext w:val="0"/>
        <w:keepLines w:val="0"/>
        <w:pageBreakBefore w:val="0"/>
        <w:widowControl w:val="0"/>
        <w:kinsoku/>
        <w:wordWrap/>
        <w:overflowPunct/>
        <w:topLinePunct w:val="0"/>
        <w:autoSpaceDE/>
        <w:autoSpaceDN/>
        <w:bidi w:val="0"/>
        <w:spacing w:line="400" w:lineRule="exact"/>
        <w:ind w:firstLine="480"/>
        <w:rPr>
          <w:rFonts w:hint="eastAsia" w:ascii="宋体" w:hAnsi="宋体" w:eastAsia="宋体" w:cs="Times New Roman"/>
          <w:sz w:val="24"/>
        </w:rPr>
      </w:pPr>
      <w:r>
        <w:rPr>
          <w:rFonts w:hint="eastAsia" w:ascii="宋体" w:hAnsi="宋体" w:eastAsia="宋体" w:cs="Times New Roman"/>
          <w:sz w:val="24"/>
        </w:rPr>
        <w:t>18.3 所有外层密封袋的封口处应粘贴牢固。</w:t>
      </w:r>
    </w:p>
    <w:p>
      <w:pPr>
        <w:keepNext w:val="0"/>
        <w:keepLines w:val="0"/>
        <w:pageBreakBefore w:val="0"/>
        <w:widowControl w:val="0"/>
        <w:tabs>
          <w:tab w:val="left" w:pos="1080"/>
        </w:tabs>
        <w:kinsoku/>
        <w:wordWrap/>
        <w:overflowPunct/>
        <w:topLinePunct w:val="0"/>
        <w:autoSpaceDE/>
        <w:autoSpaceDN/>
        <w:bidi w:val="0"/>
        <w:spacing w:line="400" w:lineRule="exact"/>
        <w:ind w:firstLine="460" w:firstLineChars="192"/>
        <w:rPr>
          <w:rFonts w:hint="eastAsia" w:ascii="宋体" w:hAnsi="宋体" w:eastAsia="宋体" w:cs="宋体"/>
          <w:sz w:val="24"/>
        </w:rPr>
      </w:pPr>
      <w:r>
        <w:rPr>
          <w:rFonts w:ascii="宋体" w:hAnsi="宋体" w:eastAsia="宋体" w:cs="宋体"/>
          <w:sz w:val="24"/>
        </w:rPr>
        <w:t>1</w:t>
      </w:r>
      <w:r>
        <w:rPr>
          <w:rFonts w:hint="eastAsia" w:ascii="宋体" w:hAnsi="宋体" w:eastAsia="宋体" w:cs="宋体"/>
          <w:sz w:val="24"/>
        </w:rPr>
        <w:t>8</w:t>
      </w:r>
      <w:r>
        <w:rPr>
          <w:rFonts w:ascii="宋体" w:hAnsi="宋体" w:eastAsia="宋体" w:cs="宋体"/>
          <w:sz w:val="24"/>
        </w:rPr>
        <w:t>.4 未进行密封或未加盖密封章（供应商印章）或密封破损的投标文件将被拒绝。</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1</w:t>
      </w:r>
      <w:r>
        <w:rPr>
          <w:rFonts w:hint="eastAsia" w:ascii="宋体" w:hAnsi="宋体" w:eastAsia="宋体" w:cs="宋体"/>
          <w:sz w:val="24"/>
        </w:rPr>
        <w:t>8</w:t>
      </w:r>
      <w:r>
        <w:rPr>
          <w:rFonts w:ascii="宋体" w:hAnsi="宋体" w:eastAsia="宋体" w:cs="宋体"/>
          <w:sz w:val="24"/>
        </w:rPr>
        <w:t>.5 有下列情形的不予拒绝，应当认定为不影响整个响应文件有效性和采购活动公平竞争：</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（1）响应文件（包括单独递交的报价表）密封完好，完整标明了供应商名称、采购项目名称，虽未完全按前款要求进行标注，但不影响公平竞争的。</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（2）</w:t>
      </w:r>
      <w:r>
        <w:rPr>
          <w:rFonts w:hint="eastAsia" w:ascii="宋体" w:hAnsi="宋体" w:eastAsia="宋体" w:cs="宋体"/>
          <w:sz w:val="24"/>
        </w:rPr>
        <w:t>资格性响应文件和其他响应文件</w:t>
      </w:r>
      <w:r>
        <w:rPr>
          <w:rFonts w:ascii="宋体" w:hAnsi="宋体" w:eastAsia="宋体" w:cs="宋体"/>
          <w:sz w:val="24"/>
        </w:rPr>
        <w:t>正副本数量齐全、密封完好，只是未按照采购文件要求进行</w:t>
      </w:r>
      <w:r>
        <w:rPr>
          <w:rFonts w:hint="eastAsia" w:ascii="宋体" w:hAnsi="宋体" w:eastAsia="宋体" w:cs="宋体"/>
          <w:sz w:val="24"/>
        </w:rPr>
        <w:t>封</w:t>
      </w:r>
      <w:r>
        <w:rPr>
          <w:rFonts w:ascii="宋体" w:hAnsi="宋体" w:eastAsia="宋体" w:cs="宋体"/>
          <w:sz w:val="24"/>
        </w:rPr>
        <w:t>装。</w:t>
      </w:r>
    </w:p>
    <w:p>
      <w:pPr>
        <w:keepNext w:val="0"/>
        <w:keepLines w:val="0"/>
        <w:pageBreakBefore w:val="0"/>
        <w:widowControl w:val="0"/>
        <w:tabs>
          <w:tab w:val="left" w:pos="1080"/>
        </w:tabs>
        <w:kinsoku/>
        <w:wordWrap/>
        <w:overflowPunct/>
        <w:topLinePunct w:val="0"/>
        <w:autoSpaceDE/>
        <w:autoSpaceDN/>
        <w:bidi w:val="0"/>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keepNext w:val="0"/>
        <w:keepLines w:val="0"/>
        <w:pageBreakBefore w:val="0"/>
        <w:widowControl w:val="0"/>
        <w:tabs>
          <w:tab w:val="left" w:pos="1080"/>
        </w:tabs>
        <w:kinsoku/>
        <w:wordWrap/>
        <w:overflowPunct/>
        <w:topLinePunct w:val="0"/>
        <w:autoSpaceDE/>
        <w:autoSpaceDN/>
        <w:bidi w:val="0"/>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keepNext w:val="0"/>
        <w:keepLines w:val="0"/>
        <w:pageBreakBefore w:val="0"/>
        <w:widowControl w:val="0"/>
        <w:tabs>
          <w:tab w:val="left" w:pos="1080"/>
        </w:tabs>
        <w:kinsoku/>
        <w:wordWrap/>
        <w:overflowPunct/>
        <w:topLinePunct w:val="0"/>
        <w:autoSpaceDE/>
        <w:autoSpaceDN/>
        <w:bidi w:val="0"/>
        <w:spacing w:line="400" w:lineRule="exact"/>
        <w:ind w:firstLine="460" w:firstLineChars="192"/>
        <w:rPr>
          <w:rFonts w:hint="eastAsia" w:ascii="宋体" w:hAnsi="宋体" w:eastAsia="宋体" w:cs="宋体"/>
          <w:sz w:val="24"/>
        </w:rPr>
      </w:pPr>
      <w:r>
        <w:rPr>
          <w:rFonts w:hint="eastAsia" w:ascii="宋体" w:hAnsi="宋体" w:eastAsia="宋体" w:cs="宋体"/>
          <w:sz w:val="24"/>
        </w:rPr>
        <w:t>19.2本次采购不接收邮寄的响应文件。</w:t>
      </w:r>
    </w:p>
    <w:p>
      <w:pPr>
        <w:keepNext w:val="0"/>
        <w:keepLines w:val="0"/>
        <w:pageBreakBefore w:val="0"/>
        <w:widowControl w:val="0"/>
        <w:tabs>
          <w:tab w:val="left" w:pos="1080"/>
        </w:tabs>
        <w:kinsoku/>
        <w:wordWrap/>
        <w:overflowPunct/>
        <w:topLinePunct w:val="0"/>
        <w:autoSpaceDE/>
        <w:autoSpaceDN/>
        <w:bidi w:val="0"/>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keepNext w:val="0"/>
        <w:keepLines w:val="0"/>
        <w:pageBreakBefore w:val="0"/>
        <w:widowControl w:val="0"/>
        <w:kinsoku/>
        <w:wordWrap/>
        <w:overflowPunct/>
        <w:topLinePunct w:val="0"/>
        <w:autoSpaceDE/>
        <w:autoSpaceDN/>
        <w:bidi w:val="0"/>
        <w:spacing w:line="400" w:lineRule="exact"/>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keepNext w:val="0"/>
        <w:keepLines w:val="0"/>
        <w:pageBreakBefore w:val="0"/>
        <w:widowControl w:val="0"/>
        <w:kinsoku/>
        <w:wordWrap/>
        <w:overflowPunct/>
        <w:topLinePunct w:val="0"/>
        <w:autoSpaceDE/>
        <w:autoSpaceDN/>
        <w:bidi w:val="0"/>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keepNext w:val="0"/>
        <w:keepLines w:val="0"/>
        <w:pageBreakBefore w:val="0"/>
        <w:widowControl w:val="0"/>
        <w:kinsoku/>
        <w:wordWrap/>
        <w:overflowPunct/>
        <w:topLinePunct w:val="0"/>
        <w:autoSpaceDE/>
        <w:autoSpaceDN/>
        <w:bidi w:val="0"/>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keepNext w:val="0"/>
        <w:keepLines w:val="0"/>
        <w:pageBreakBefore w:val="0"/>
        <w:widowControl w:val="0"/>
        <w:kinsoku/>
        <w:wordWrap/>
        <w:overflowPunct/>
        <w:topLinePunct w:val="0"/>
        <w:autoSpaceDE/>
        <w:autoSpaceDN/>
        <w:bidi w:val="0"/>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keepNext w:val="0"/>
        <w:keepLines w:val="0"/>
        <w:pageBreakBefore w:val="0"/>
        <w:widowControl w:val="0"/>
        <w:kinsoku/>
        <w:wordWrap/>
        <w:overflowPunct/>
        <w:topLinePunct w:val="0"/>
        <w:autoSpaceDE/>
        <w:autoSpaceDN/>
        <w:bidi w:val="0"/>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keepNext w:val="0"/>
        <w:keepLines w:val="0"/>
        <w:pageBreakBefore w:val="0"/>
        <w:widowControl w:val="0"/>
        <w:kinsoku/>
        <w:wordWrap/>
        <w:overflowPunct/>
        <w:topLinePunct w:val="0"/>
        <w:autoSpaceDE/>
        <w:autoSpaceDN/>
        <w:bidi w:val="0"/>
        <w:spacing w:line="40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keepNext w:val="0"/>
        <w:keepLines w:val="0"/>
        <w:pageBreakBefore w:val="0"/>
        <w:widowControl w:val="0"/>
        <w:kinsoku/>
        <w:wordWrap/>
        <w:overflowPunct/>
        <w:topLinePunct w:val="0"/>
        <w:autoSpaceDE/>
        <w:autoSpaceDN/>
        <w:bidi w:val="0"/>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pageBreakBefore w:val="0"/>
        <w:widowControl w:val="0"/>
        <w:kinsoku/>
        <w:wordWrap/>
        <w:overflowPunct/>
        <w:topLinePunct w:val="0"/>
        <w:autoSpaceDE/>
        <w:autoSpaceDN/>
        <w:bidi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pageBreakBefore w:val="0"/>
        <w:widowControl w:val="0"/>
        <w:kinsoku/>
        <w:wordWrap/>
        <w:overflowPunct/>
        <w:topLinePunct w:val="0"/>
        <w:autoSpaceDE/>
        <w:autoSpaceDN/>
        <w:bidi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w:t>
      </w:r>
      <w:r>
        <w:rPr>
          <w:rFonts w:hint="eastAsia" w:ascii="宋体" w:hAnsi="宋体" w:cs="Times New Roman"/>
          <w:b w:val="0"/>
          <w:bCs/>
          <w:kern w:val="2"/>
          <w:sz w:val="24"/>
          <w:szCs w:val="24"/>
          <w:lang w:val="en-US" w:eastAsia="zh-CN" w:bidi="ar-SA"/>
        </w:rPr>
        <w:t>六</w:t>
      </w:r>
      <w:r>
        <w:rPr>
          <w:rFonts w:hint="eastAsia" w:ascii="宋体" w:hAnsi="宋体" w:eastAsia="宋体" w:cs="Times New Roman"/>
          <w:b w:val="0"/>
          <w:bCs/>
          <w:kern w:val="2"/>
          <w:sz w:val="24"/>
          <w:szCs w:val="24"/>
          <w:lang w:val="en-US" w:eastAsia="zh-CN" w:bidi="ar-SA"/>
        </w:rPr>
        <w:t>章的规定进行。</w:t>
      </w:r>
    </w:p>
    <w:p>
      <w:pPr>
        <w:keepNext w:val="0"/>
        <w:keepLines w:val="0"/>
        <w:pageBreakBefore w:val="0"/>
        <w:widowControl w:val="0"/>
        <w:kinsoku/>
        <w:wordWrap/>
        <w:overflowPunct/>
        <w:topLinePunct w:val="0"/>
        <w:autoSpaceDE/>
        <w:autoSpaceDN/>
        <w:bidi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pageBreakBefore w:val="0"/>
        <w:widowControl w:val="0"/>
        <w:kinsoku/>
        <w:wordWrap/>
        <w:overflowPunct/>
        <w:topLinePunct w:val="0"/>
        <w:autoSpaceDE/>
        <w:autoSpaceDN/>
        <w:bidi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pageBreakBefore w:val="0"/>
        <w:widowControl w:val="0"/>
        <w:kinsoku/>
        <w:wordWrap/>
        <w:overflowPunct/>
        <w:topLinePunct w:val="0"/>
        <w:autoSpaceDE/>
        <w:autoSpaceDN/>
        <w:bidi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pageBreakBefore w:val="0"/>
        <w:widowControl w:val="0"/>
        <w:kinsoku/>
        <w:wordWrap/>
        <w:overflowPunct/>
        <w:topLinePunct w:val="0"/>
        <w:autoSpaceDE/>
        <w:autoSpaceDN/>
        <w:bidi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pageBreakBefore w:val="0"/>
        <w:widowControl w:val="0"/>
        <w:kinsoku/>
        <w:wordWrap/>
        <w:overflowPunct/>
        <w:topLinePunct w:val="0"/>
        <w:autoSpaceDE/>
        <w:autoSpaceDN/>
        <w:bidi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pageBreakBefore w:val="0"/>
        <w:widowControl w:val="0"/>
        <w:kinsoku/>
        <w:wordWrap/>
        <w:overflowPunct/>
        <w:topLinePunct w:val="0"/>
        <w:autoSpaceDE/>
        <w:autoSpaceDN/>
        <w:bidi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pageBreakBefore w:val="0"/>
        <w:widowControl w:val="0"/>
        <w:kinsoku/>
        <w:wordWrap/>
        <w:overflowPunct/>
        <w:topLinePunct w:val="0"/>
        <w:autoSpaceDE/>
        <w:autoSpaceDN/>
        <w:bidi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pageBreakBefore w:val="0"/>
        <w:widowControl w:val="0"/>
        <w:kinsoku/>
        <w:wordWrap/>
        <w:overflowPunct/>
        <w:topLinePunct w:val="0"/>
        <w:autoSpaceDE/>
        <w:autoSpaceDN/>
        <w:bidi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pageBreakBefore w:val="0"/>
        <w:widowControl w:val="0"/>
        <w:kinsoku/>
        <w:wordWrap/>
        <w:overflowPunct/>
        <w:topLinePunct w:val="0"/>
        <w:autoSpaceDE/>
        <w:autoSpaceDN/>
        <w:bidi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pageBreakBefore w:val="0"/>
        <w:widowControl w:val="0"/>
        <w:kinsoku/>
        <w:wordWrap/>
        <w:overflowPunct/>
        <w:topLinePunct w:val="0"/>
        <w:autoSpaceDE/>
        <w:autoSpaceDN/>
        <w:bidi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pageBreakBefore w:val="0"/>
        <w:widowControl w:val="0"/>
        <w:kinsoku/>
        <w:wordWrap/>
        <w:overflowPunct/>
        <w:topLinePunct w:val="0"/>
        <w:autoSpaceDE/>
        <w:autoSpaceDN/>
        <w:bidi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pageBreakBefore w:val="0"/>
        <w:widowControl w:val="0"/>
        <w:kinsoku/>
        <w:wordWrap/>
        <w:overflowPunct/>
        <w:topLinePunct w:val="0"/>
        <w:autoSpaceDE/>
        <w:autoSpaceDN/>
        <w:bidi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pageBreakBefore w:val="0"/>
        <w:widowControl w:val="0"/>
        <w:kinsoku/>
        <w:wordWrap/>
        <w:overflowPunct/>
        <w:topLinePunct w:val="0"/>
        <w:autoSpaceDE/>
        <w:autoSpaceDN/>
        <w:bidi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pageBreakBefore w:val="0"/>
        <w:widowControl w:val="0"/>
        <w:kinsoku/>
        <w:wordWrap/>
        <w:overflowPunct/>
        <w:topLinePunct w:val="0"/>
        <w:autoSpaceDE/>
        <w:autoSpaceDN/>
        <w:bidi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pageBreakBefore w:val="0"/>
        <w:widowControl w:val="0"/>
        <w:kinsoku/>
        <w:wordWrap/>
        <w:overflowPunct/>
        <w:topLinePunct w:val="0"/>
        <w:autoSpaceDE/>
        <w:autoSpaceDN/>
        <w:bidi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pageBreakBefore w:val="0"/>
        <w:widowControl w:val="0"/>
        <w:kinsoku/>
        <w:wordWrap/>
        <w:overflowPunct/>
        <w:topLinePunct w:val="0"/>
        <w:autoSpaceDE/>
        <w:autoSpaceDN/>
        <w:bidi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430773927"/>
      <w:bookmarkStart w:id="12" w:name="_Toc101174151"/>
      <w:bookmarkStart w:id="13" w:name="_Toc101338364"/>
      <w:bookmarkStart w:id="14" w:name="_Toc209847069"/>
      <w:bookmarkStart w:id="15" w:name="_Toc101250646"/>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keepNext w:val="0"/>
        <w:keepLines w:val="0"/>
        <w:pageBreakBefore w:val="0"/>
        <w:widowControl w:val="0"/>
        <w:kinsoku/>
        <w:wordWrap/>
        <w:overflowPunct/>
        <w:topLinePunct w:val="0"/>
        <w:autoSpaceDE/>
        <w:autoSpaceDN/>
        <w:bidi w:val="0"/>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keepNext w:val="0"/>
        <w:keepLines w:val="0"/>
        <w:pageBreakBefore w:val="0"/>
        <w:widowControl w:val="0"/>
        <w:kinsoku/>
        <w:wordWrap/>
        <w:overflowPunct/>
        <w:topLinePunct w:val="0"/>
        <w:autoSpaceDE/>
        <w:autoSpaceDN/>
        <w:bidi w:val="0"/>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keepNext w:val="0"/>
        <w:keepLines w:val="0"/>
        <w:pageBreakBefore w:val="0"/>
        <w:widowControl w:val="0"/>
        <w:kinsoku/>
        <w:wordWrap/>
        <w:overflowPunct/>
        <w:topLinePunct w:val="0"/>
        <w:autoSpaceDE/>
        <w:autoSpaceDN/>
        <w:bidi w:val="0"/>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keepNext w:val="0"/>
        <w:keepLines w:val="0"/>
        <w:pageBreakBefore w:val="0"/>
        <w:widowControl w:val="0"/>
        <w:kinsoku/>
        <w:wordWrap/>
        <w:overflowPunct/>
        <w:topLinePunct w:val="0"/>
        <w:autoSpaceDE/>
        <w:autoSpaceDN/>
        <w:bidi w:val="0"/>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keepNext w:val="0"/>
        <w:keepLines w:val="0"/>
        <w:pageBreakBefore w:val="0"/>
        <w:widowControl w:val="0"/>
        <w:kinsoku/>
        <w:wordWrap/>
        <w:overflowPunct/>
        <w:topLinePunct w:val="0"/>
        <w:autoSpaceDE/>
        <w:autoSpaceDN/>
        <w:bidi w:val="0"/>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keepNext w:val="0"/>
        <w:keepLines w:val="0"/>
        <w:pageBreakBefore w:val="0"/>
        <w:widowControl w:val="0"/>
        <w:kinsoku/>
        <w:wordWrap/>
        <w:overflowPunct/>
        <w:topLinePunct w:val="0"/>
        <w:autoSpaceDE/>
        <w:autoSpaceDN/>
        <w:bidi w:val="0"/>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keepNext w:val="0"/>
        <w:keepLines w:val="0"/>
        <w:pageBreakBefore w:val="0"/>
        <w:widowControl w:val="0"/>
        <w:kinsoku/>
        <w:wordWrap/>
        <w:overflowPunct/>
        <w:topLinePunct w:val="0"/>
        <w:autoSpaceDE/>
        <w:autoSpaceDN/>
        <w:bidi w:val="0"/>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keepNext w:val="0"/>
        <w:keepLines w:val="0"/>
        <w:pageBreakBefore w:val="0"/>
        <w:widowControl w:val="0"/>
        <w:kinsoku/>
        <w:wordWrap/>
        <w:overflowPunct/>
        <w:topLinePunct w:val="0"/>
        <w:autoSpaceDE/>
        <w:autoSpaceDN/>
        <w:bidi w:val="0"/>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keepNext w:val="0"/>
        <w:keepLines w:val="0"/>
        <w:pageBreakBefore w:val="0"/>
        <w:widowControl w:val="0"/>
        <w:kinsoku/>
        <w:wordWrap/>
        <w:overflowPunct/>
        <w:topLinePunct w:val="0"/>
        <w:autoSpaceDE/>
        <w:autoSpaceDN/>
        <w:bidi w:val="0"/>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keepNext w:val="0"/>
        <w:keepLines w:val="0"/>
        <w:pageBreakBefore w:val="0"/>
        <w:widowControl w:val="0"/>
        <w:kinsoku/>
        <w:wordWrap/>
        <w:overflowPunct/>
        <w:topLinePunct w:val="0"/>
        <w:autoSpaceDE/>
        <w:autoSpaceDN/>
        <w:bidi w:val="0"/>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keepNext w:val="0"/>
        <w:keepLines w:val="0"/>
        <w:pageBreakBefore w:val="0"/>
        <w:widowControl w:val="0"/>
        <w:kinsoku/>
        <w:wordWrap/>
        <w:overflowPunct/>
        <w:topLinePunct w:val="0"/>
        <w:autoSpaceDE/>
        <w:autoSpaceDN/>
        <w:bidi w:val="0"/>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keepNext w:val="0"/>
        <w:keepLines w:val="0"/>
        <w:pageBreakBefore w:val="0"/>
        <w:widowControl w:val="0"/>
        <w:kinsoku/>
        <w:wordWrap/>
        <w:overflowPunct/>
        <w:topLinePunct w:val="0"/>
        <w:autoSpaceDE/>
        <w:autoSpaceDN/>
        <w:bidi w:val="0"/>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keepNext w:val="0"/>
        <w:keepLines w:val="0"/>
        <w:pageBreakBefore w:val="0"/>
        <w:widowControl w:val="0"/>
        <w:kinsoku/>
        <w:wordWrap/>
        <w:overflowPunct/>
        <w:topLinePunct w:val="0"/>
        <w:autoSpaceDE/>
        <w:autoSpaceDN/>
        <w:bidi w:val="0"/>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keepNext w:val="0"/>
        <w:keepLines w:val="0"/>
        <w:pageBreakBefore w:val="0"/>
        <w:widowControl w:val="0"/>
        <w:kinsoku/>
        <w:wordWrap/>
        <w:overflowPunct/>
        <w:topLinePunct w:val="0"/>
        <w:autoSpaceDE/>
        <w:autoSpaceDN/>
        <w:bidi w:val="0"/>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keepNext w:val="0"/>
        <w:keepLines w:val="0"/>
        <w:pageBreakBefore w:val="0"/>
        <w:widowControl w:val="0"/>
        <w:kinsoku/>
        <w:wordWrap/>
        <w:overflowPunct/>
        <w:topLinePunct w:val="0"/>
        <w:autoSpaceDE/>
        <w:autoSpaceDN/>
        <w:bidi w:val="0"/>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keepNext w:val="0"/>
        <w:keepLines w:val="0"/>
        <w:pageBreakBefore w:val="0"/>
        <w:widowControl w:val="0"/>
        <w:kinsoku/>
        <w:wordWrap/>
        <w:overflowPunct/>
        <w:topLinePunct w:val="0"/>
        <w:autoSpaceDE/>
        <w:autoSpaceDN/>
        <w:bidi w:val="0"/>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keepNext w:val="0"/>
        <w:keepLines w:val="0"/>
        <w:pageBreakBefore w:val="0"/>
        <w:widowControl w:val="0"/>
        <w:kinsoku/>
        <w:wordWrap/>
        <w:overflowPunct/>
        <w:topLinePunct w:val="0"/>
        <w:autoSpaceDE/>
        <w:autoSpaceDN/>
        <w:bidi w:val="0"/>
        <w:spacing w:line="400" w:lineRule="exact"/>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keepNext w:val="0"/>
        <w:keepLines w:val="0"/>
        <w:pageBreakBefore w:val="0"/>
        <w:widowControl w:val="0"/>
        <w:kinsoku/>
        <w:wordWrap/>
        <w:overflowPunct/>
        <w:topLinePunct w:val="0"/>
        <w:autoSpaceDE/>
        <w:autoSpaceDN/>
        <w:bidi w:val="0"/>
        <w:spacing w:line="400" w:lineRule="exact"/>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keepNext w:val="0"/>
        <w:keepLines w:val="0"/>
        <w:pageBreakBefore w:val="0"/>
        <w:widowControl w:val="0"/>
        <w:kinsoku/>
        <w:wordWrap/>
        <w:overflowPunct/>
        <w:topLinePunct w:val="0"/>
        <w:autoSpaceDE/>
        <w:autoSpaceDN/>
        <w:bidi w:val="0"/>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keepNext w:val="0"/>
        <w:keepLines w:val="0"/>
        <w:pageBreakBefore w:val="0"/>
        <w:widowControl w:val="0"/>
        <w:kinsoku/>
        <w:wordWrap/>
        <w:overflowPunct/>
        <w:topLinePunct w:val="0"/>
        <w:autoSpaceDE/>
        <w:autoSpaceDN/>
        <w:bidi w:val="0"/>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keepNext w:val="0"/>
        <w:keepLines w:val="0"/>
        <w:pageBreakBefore w:val="0"/>
        <w:widowControl w:val="0"/>
        <w:kinsoku/>
        <w:wordWrap/>
        <w:overflowPunct/>
        <w:topLinePunct w:val="0"/>
        <w:autoSpaceDE/>
        <w:autoSpaceDN/>
        <w:bidi w:val="0"/>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keepNext w:val="0"/>
        <w:keepLines w:val="0"/>
        <w:pageBreakBefore w:val="0"/>
        <w:widowControl w:val="0"/>
        <w:kinsoku/>
        <w:wordWrap/>
        <w:overflowPunct/>
        <w:topLinePunct w:val="0"/>
        <w:autoSpaceDE/>
        <w:autoSpaceDN/>
        <w:bidi w:val="0"/>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keepNext w:val="0"/>
        <w:keepLines w:val="0"/>
        <w:pageBreakBefore w:val="0"/>
        <w:widowControl w:val="0"/>
        <w:kinsoku/>
        <w:wordWrap/>
        <w:overflowPunct/>
        <w:topLinePunct w:val="0"/>
        <w:autoSpaceDE/>
        <w:autoSpaceDN/>
        <w:bidi w:val="0"/>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keepNext w:val="0"/>
        <w:keepLines w:val="0"/>
        <w:pageBreakBefore w:val="0"/>
        <w:widowControl w:val="0"/>
        <w:kinsoku/>
        <w:wordWrap/>
        <w:overflowPunct/>
        <w:topLinePunct w:val="0"/>
        <w:autoSpaceDE/>
        <w:autoSpaceDN/>
        <w:bidi w:val="0"/>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keepNext w:val="0"/>
        <w:keepLines w:val="0"/>
        <w:pageBreakBefore w:val="0"/>
        <w:widowControl w:val="0"/>
        <w:kinsoku/>
        <w:wordWrap/>
        <w:overflowPunct/>
        <w:topLinePunct w:val="0"/>
        <w:autoSpaceDE/>
        <w:autoSpaceDN/>
        <w:bidi w:val="0"/>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keepNext w:val="0"/>
        <w:keepLines w:val="0"/>
        <w:pageBreakBefore w:val="0"/>
        <w:widowControl w:val="0"/>
        <w:kinsoku/>
        <w:wordWrap/>
        <w:overflowPunct/>
        <w:topLinePunct w:val="0"/>
        <w:autoSpaceDE/>
        <w:autoSpaceDN/>
        <w:bidi w:val="0"/>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pageBreakBefore w:val="0"/>
        <w:widowControl w:val="0"/>
        <w:kinsoku/>
        <w:wordWrap/>
        <w:overflowPunct/>
        <w:topLinePunct w:val="0"/>
        <w:autoSpaceDE/>
        <w:autoSpaceDN/>
        <w:bidi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pageBreakBefore w:val="0"/>
        <w:widowControl w:val="0"/>
        <w:kinsoku/>
        <w:wordWrap/>
        <w:overflowPunct/>
        <w:topLinePunct w:val="0"/>
        <w:autoSpaceDE/>
        <w:autoSpaceDN/>
        <w:bidi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keepNext w:val="0"/>
        <w:keepLines w:val="0"/>
        <w:pageBreakBefore w:val="0"/>
        <w:widowControl w:val="0"/>
        <w:tabs>
          <w:tab w:val="left" w:pos="851"/>
        </w:tabs>
        <w:kinsoku/>
        <w:wordWrap/>
        <w:overflowPunct/>
        <w:topLinePunct w:val="0"/>
        <w:autoSpaceDE/>
        <w:autoSpaceDN/>
        <w:bidi w:val="0"/>
        <w:spacing w:line="400" w:lineRule="exact"/>
        <w:jc w:val="center"/>
        <w:rPr>
          <w:rFonts w:hint="eastAsia" w:ascii="宋体" w:hAnsi="宋体" w:eastAsia="宋体" w:cs="Times New Roman"/>
          <w:sz w:val="24"/>
        </w:rPr>
      </w:pPr>
    </w:p>
    <w:p>
      <w:pPr>
        <w:keepNext w:val="0"/>
        <w:keepLines w:val="0"/>
        <w:pageBreakBefore w:val="0"/>
        <w:widowControl w:val="0"/>
        <w:tabs>
          <w:tab w:val="left" w:pos="851"/>
        </w:tabs>
        <w:kinsoku/>
        <w:wordWrap/>
        <w:overflowPunct/>
        <w:topLinePunct w:val="0"/>
        <w:autoSpaceDE/>
        <w:autoSpaceDN/>
        <w:bidi w:val="0"/>
        <w:spacing w:line="400" w:lineRule="exact"/>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keepNext w:val="0"/>
        <w:keepLines w:val="0"/>
        <w:pageBreakBefore w:val="0"/>
        <w:widowControl w:val="0"/>
        <w:tabs>
          <w:tab w:val="left" w:pos="851"/>
        </w:tabs>
        <w:kinsoku/>
        <w:wordWrap/>
        <w:overflowPunct/>
        <w:topLinePunct w:val="0"/>
        <w:autoSpaceDE/>
        <w:autoSpaceDN/>
        <w:bidi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keepNext w:val="0"/>
        <w:keepLines w:val="0"/>
        <w:pageBreakBefore w:val="0"/>
        <w:widowControl w:val="0"/>
        <w:tabs>
          <w:tab w:val="left" w:pos="851"/>
        </w:tabs>
        <w:kinsoku/>
        <w:wordWrap/>
        <w:overflowPunct/>
        <w:topLinePunct w:val="0"/>
        <w:autoSpaceDE/>
        <w:autoSpaceDN/>
        <w:bidi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keepNext w:val="0"/>
        <w:keepLines w:val="0"/>
        <w:pageBreakBefore w:val="0"/>
        <w:widowControl w:val="0"/>
        <w:tabs>
          <w:tab w:val="left" w:pos="851"/>
        </w:tabs>
        <w:kinsoku/>
        <w:wordWrap/>
        <w:overflowPunct/>
        <w:topLinePunct w:val="0"/>
        <w:autoSpaceDE/>
        <w:autoSpaceDN/>
        <w:bidi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keepNext w:val="0"/>
        <w:keepLines w:val="0"/>
        <w:pageBreakBefore w:val="0"/>
        <w:widowControl w:val="0"/>
        <w:tabs>
          <w:tab w:val="left" w:pos="851"/>
        </w:tabs>
        <w:kinsoku/>
        <w:wordWrap/>
        <w:overflowPunct/>
        <w:topLinePunct w:val="0"/>
        <w:autoSpaceDE/>
        <w:autoSpaceDN/>
        <w:bidi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keepNext w:val="0"/>
        <w:keepLines w:val="0"/>
        <w:pageBreakBefore w:val="0"/>
        <w:widowControl w:val="0"/>
        <w:tabs>
          <w:tab w:val="left" w:pos="851"/>
        </w:tabs>
        <w:kinsoku/>
        <w:wordWrap/>
        <w:overflowPunct/>
        <w:topLinePunct w:val="0"/>
        <w:autoSpaceDE/>
        <w:autoSpaceDN/>
        <w:bidi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keepNext w:val="0"/>
        <w:keepLines w:val="0"/>
        <w:pageBreakBefore w:val="0"/>
        <w:widowControl w:val="0"/>
        <w:tabs>
          <w:tab w:val="left" w:pos="851"/>
        </w:tabs>
        <w:kinsoku/>
        <w:wordWrap/>
        <w:overflowPunct/>
        <w:topLinePunct w:val="0"/>
        <w:autoSpaceDE/>
        <w:autoSpaceDN/>
        <w:bidi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keepNext w:val="0"/>
        <w:keepLines w:val="0"/>
        <w:pageBreakBefore w:val="0"/>
        <w:widowControl w:val="0"/>
        <w:tabs>
          <w:tab w:val="left" w:pos="851"/>
        </w:tabs>
        <w:kinsoku/>
        <w:wordWrap/>
        <w:overflowPunct/>
        <w:topLinePunct w:val="0"/>
        <w:autoSpaceDE/>
        <w:autoSpaceDN/>
        <w:bidi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keepNext w:val="0"/>
        <w:keepLines w:val="0"/>
        <w:pageBreakBefore w:val="0"/>
        <w:widowControl w:val="0"/>
        <w:tabs>
          <w:tab w:val="left" w:pos="851"/>
        </w:tabs>
        <w:kinsoku/>
        <w:wordWrap/>
        <w:overflowPunct/>
        <w:topLinePunct w:val="0"/>
        <w:autoSpaceDE/>
        <w:autoSpaceDN/>
        <w:bidi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keepNext w:val="0"/>
        <w:keepLines w:val="0"/>
        <w:pageBreakBefore w:val="0"/>
        <w:widowControl w:val="0"/>
        <w:tabs>
          <w:tab w:val="left" w:pos="851"/>
        </w:tabs>
        <w:kinsoku/>
        <w:wordWrap/>
        <w:overflowPunct/>
        <w:topLinePunct w:val="0"/>
        <w:autoSpaceDE/>
        <w:autoSpaceDN/>
        <w:bidi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keepNext w:val="0"/>
        <w:keepLines w:val="0"/>
        <w:pageBreakBefore w:val="0"/>
        <w:widowControl w:val="0"/>
        <w:tabs>
          <w:tab w:val="left" w:pos="851"/>
        </w:tabs>
        <w:kinsoku/>
        <w:wordWrap/>
        <w:overflowPunct/>
        <w:topLinePunct w:val="0"/>
        <w:autoSpaceDE/>
        <w:autoSpaceDN/>
        <w:bidi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keepNext w:val="0"/>
        <w:keepLines w:val="0"/>
        <w:pageBreakBefore w:val="0"/>
        <w:widowControl w:val="0"/>
        <w:tabs>
          <w:tab w:val="left" w:pos="851"/>
        </w:tabs>
        <w:kinsoku/>
        <w:wordWrap/>
        <w:overflowPunct/>
        <w:topLinePunct w:val="0"/>
        <w:autoSpaceDE/>
        <w:autoSpaceDN/>
        <w:bidi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keepNext w:val="0"/>
        <w:keepLines w:val="0"/>
        <w:pageBreakBefore w:val="0"/>
        <w:widowControl w:val="0"/>
        <w:tabs>
          <w:tab w:val="left" w:pos="851"/>
        </w:tabs>
        <w:kinsoku/>
        <w:wordWrap/>
        <w:overflowPunct/>
        <w:topLinePunct w:val="0"/>
        <w:autoSpaceDE/>
        <w:autoSpaceDN/>
        <w:bidi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keepNext w:val="0"/>
        <w:keepLines w:val="0"/>
        <w:pageBreakBefore w:val="0"/>
        <w:widowControl w:val="0"/>
        <w:tabs>
          <w:tab w:val="left" w:pos="851"/>
        </w:tabs>
        <w:kinsoku/>
        <w:wordWrap/>
        <w:overflowPunct/>
        <w:topLinePunct w:val="0"/>
        <w:autoSpaceDE/>
        <w:autoSpaceDN/>
        <w:bidi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keepNext w:val="0"/>
        <w:keepLines w:val="0"/>
        <w:pageBreakBefore w:val="0"/>
        <w:widowControl w:val="0"/>
        <w:tabs>
          <w:tab w:val="left" w:pos="851"/>
        </w:tabs>
        <w:kinsoku/>
        <w:wordWrap/>
        <w:overflowPunct/>
        <w:topLinePunct w:val="0"/>
        <w:autoSpaceDE/>
        <w:autoSpaceDN/>
        <w:bidi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keepNext w:val="0"/>
        <w:keepLines w:val="0"/>
        <w:pageBreakBefore w:val="0"/>
        <w:widowControl w:val="0"/>
        <w:numPr>
          <w:ilvl w:val="0"/>
          <w:numId w:val="1"/>
        </w:numPr>
        <w:tabs>
          <w:tab w:val="left" w:pos="851"/>
        </w:tabs>
        <w:kinsoku/>
        <w:wordWrap/>
        <w:overflowPunct/>
        <w:topLinePunct w:val="0"/>
        <w:autoSpaceDE/>
        <w:autoSpaceDN/>
        <w:bidi w:val="0"/>
        <w:spacing w:line="400" w:lineRule="exact"/>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keepNext w:val="0"/>
        <w:keepLines w:val="0"/>
        <w:pageBreakBefore w:val="0"/>
        <w:widowControl w:val="0"/>
        <w:tabs>
          <w:tab w:val="left" w:pos="851"/>
        </w:tabs>
        <w:kinsoku/>
        <w:wordWrap/>
        <w:overflowPunct/>
        <w:topLinePunct w:val="0"/>
        <w:autoSpaceDE/>
        <w:autoSpaceDN/>
        <w:bidi w:val="0"/>
        <w:spacing w:line="40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keepNext w:val="0"/>
        <w:keepLines w:val="0"/>
        <w:pageBreakBefore w:val="0"/>
        <w:widowControl w:val="0"/>
        <w:tabs>
          <w:tab w:val="left" w:pos="851"/>
        </w:tabs>
        <w:kinsoku/>
        <w:wordWrap/>
        <w:overflowPunct/>
        <w:topLinePunct w:val="0"/>
        <w:autoSpaceDE/>
        <w:autoSpaceDN/>
        <w:bidi w:val="0"/>
        <w:spacing w:line="400" w:lineRule="exact"/>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keepNext w:val="0"/>
        <w:keepLines w:val="0"/>
        <w:pageBreakBefore w:val="0"/>
        <w:widowControl w:val="0"/>
        <w:tabs>
          <w:tab w:val="left" w:pos="851"/>
        </w:tabs>
        <w:kinsoku/>
        <w:wordWrap/>
        <w:overflowPunct/>
        <w:topLinePunct w:val="0"/>
        <w:autoSpaceDE/>
        <w:autoSpaceDN/>
        <w:bidi w:val="0"/>
        <w:spacing w:line="400" w:lineRule="exact"/>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keepNext w:val="0"/>
        <w:keepLines w:val="0"/>
        <w:pageBreakBefore w:val="0"/>
        <w:widowControl w:val="0"/>
        <w:kinsoku/>
        <w:wordWrap/>
        <w:overflowPunct/>
        <w:topLinePunct w:val="0"/>
        <w:autoSpaceDE/>
        <w:autoSpaceDN/>
        <w:bidi w:val="0"/>
        <w:spacing w:line="400" w:lineRule="exact"/>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keepNext w:val="0"/>
        <w:keepLines w:val="0"/>
        <w:pageBreakBefore w:val="0"/>
        <w:widowControl w:val="0"/>
        <w:kinsoku/>
        <w:wordWrap/>
        <w:overflowPunct/>
        <w:topLinePunct w:val="0"/>
        <w:autoSpaceDE/>
        <w:autoSpaceDN/>
        <w:bidi w:val="0"/>
        <w:spacing w:line="400" w:lineRule="exact"/>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参与投标的人员身份证原件须随身携带备查。</w:t>
      </w:r>
    </w:p>
    <w:p>
      <w:pPr>
        <w:ind w:firstLine="480" w:firstLineChars="200"/>
        <w:rPr>
          <w:rFonts w:hint="default" w:eastAsia="宋体"/>
          <w:lang w:val="en-US" w:eastAsia="zh-CN"/>
        </w:rPr>
      </w:pPr>
      <w:r>
        <w:rPr>
          <w:rFonts w:hint="eastAsia" w:ascii="宋体" w:hAnsi="宋体" w:cs="宋体"/>
          <w:sz w:val="24"/>
        </w:rPr>
        <w:t>4、承诺函（格式详见第</w:t>
      </w:r>
      <w:r>
        <w:rPr>
          <w:rFonts w:hint="eastAsia" w:ascii="宋体" w:hAnsi="宋体" w:cs="宋体"/>
          <w:sz w:val="24"/>
          <w:lang w:eastAsia="zh-CN"/>
        </w:rPr>
        <w:t>五</w:t>
      </w:r>
      <w:r>
        <w:rPr>
          <w:rFonts w:hint="eastAsia" w:ascii="宋体" w:hAnsi="宋体" w:cs="宋体"/>
          <w:sz w:val="24"/>
        </w:rPr>
        <w:t>章）。</w:t>
      </w:r>
    </w:p>
    <w:p>
      <w:pPr>
        <w:pStyle w:val="20"/>
        <w:spacing w:line="440" w:lineRule="exact"/>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w:t>
      </w:r>
      <w:r>
        <w:rPr>
          <w:rFonts w:hint="eastAsia" w:ascii="宋体" w:hAnsi="宋体" w:eastAsia="宋体" w:cs="宋体"/>
          <w:kern w:val="2"/>
          <w:sz w:val="24"/>
          <w:szCs w:val="24"/>
          <w:lang w:val="en-US" w:eastAsia="zh-CN" w:bidi="ar-SA"/>
        </w:rPr>
        <w:t>提供</w:t>
      </w:r>
      <w:r>
        <w:rPr>
          <w:rFonts w:hint="eastAsia" w:ascii="宋体" w:hAnsi="宋体"/>
          <w:sz w:val="24"/>
          <w:szCs w:val="22"/>
        </w:rPr>
        <w:t>医疗器械生产或经营企业许可证明 (三类医疗器械提供《医疗器械经营许可证》,二类医疗器械提供《第二类医疗器械经营备案凭证》)，经营或生产范围与投标产品类别一致。</w:t>
      </w: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217446056"/>
      <w:bookmarkStart w:id="17" w:name="_Toc183682368"/>
      <w:bookmarkStart w:id="18" w:name="_Toc89075878"/>
      <w:bookmarkStart w:id="19" w:name="_Toc183582231"/>
      <w:bookmarkStart w:id="20" w:name="_Toc77400782"/>
    </w:p>
    <w:bookmarkEnd w:id="16"/>
    <w:bookmarkEnd w:id="17"/>
    <w:bookmarkEnd w:id="18"/>
    <w:bookmarkEnd w:id="19"/>
    <w:bookmarkEnd w:id="20"/>
    <w:p>
      <w:pPr>
        <w:spacing w:line="440" w:lineRule="exact"/>
        <w:ind w:firstLine="643" w:firstLineChars="200"/>
        <w:rPr>
          <w:rFonts w:hint="eastAsia" w:asciiTheme="minorEastAsia" w:hAnsiTheme="minorEastAsia" w:eastAsiaTheme="minorEastAsia" w:cstheme="minorEastAsia"/>
          <w:b w:val="0"/>
          <w:bCs/>
          <w:sz w:val="32"/>
          <w:szCs w:val="32"/>
          <w:lang w:eastAsia="zh-CN"/>
        </w:rPr>
      </w:pPr>
      <w:bookmarkStart w:id="21" w:name="_Toc2129"/>
      <w:bookmarkStart w:id="22" w:name="_Toc22325"/>
      <w:bookmarkStart w:id="23" w:name="_Toc183682369"/>
      <w:bookmarkStart w:id="24" w:name="_Toc183582232"/>
      <w:bookmarkStart w:id="25" w:name="_Toc217446057"/>
      <w:r>
        <w:rPr>
          <w:rFonts w:hint="eastAsia" w:ascii="黑体" w:hAnsi="宋体" w:eastAsia="黑体"/>
          <w:b/>
          <w:sz w:val="32"/>
          <w:szCs w:val="32"/>
        </w:rPr>
        <w:t>第四章  采购项目技术、服务、政府采购合同内容条款及其他商务要求</w:t>
      </w:r>
      <w:bookmarkEnd w:id="21"/>
      <w:bookmarkEnd w:id="22"/>
    </w:p>
    <w:p>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ind w:firstLine="480" w:firstLineChars="200"/>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我</w:t>
      </w:r>
      <w:r>
        <w:rPr>
          <w:rFonts w:hint="eastAsia" w:ascii="宋体" w:hAnsi="宋体" w:eastAsia="宋体" w:cs="宋体"/>
          <w:color w:val="000000"/>
          <w:kern w:val="2"/>
          <w:sz w:val="24"/>
          <w:szCs w:val="24"/>
          <w:lang w:val="en-US" w:eastAsia="zh-CN" w:bidi="ar-SA"/>
        </w:rPr>
        <w:t>院因</w:t>
      </w:r>
      <w:r>
        <w:rPr>
          <w:rFonts w:hint="eastAsia" w:ascii="宋体" w:hAnsi="宋体" w:cs="宋体"/>
          <w:color w:val="000000"/>
          <w:kern w:val="2"/>
          <w:sz w:val="24"/>
          <w:szCs w:val="24"/>
          <w:lang w:val="en-US" w:eastAsia="zh-CN" w:bidi="ar-SA"/>
        </w:rPr>
        <w:t>工作业务</w:t>
      </w:r>
      <w:r>
        <w:rPr>
          <w:rFonts w:hint="eastAsia" w:ascii="宋体" w:hAnsi="宋体" w:eastAsia="宋体" w:cs="宋体"/>
          <w:color w:val="000000"/>
          <w:kern w:val="2"/>
          <w:sz w:val="24"/>
          <w:szCs w:val="24"/>
          <w:lang w:val="en-US" w:eastAsia="zh-CN" w:bidi="ar-SA"/>
        </w:rPr>
        <w:t>开展需要，需购置</w:t>
      </w:r>
      <w:r>
        <w:rPr>
          <w:rFonts w:hint="eastAsia" w:ascii="宋体" w:hAnsi="宋体" w:cs="宋体"/>
          <w:color w:val="000000"/>
          <w:kern w:val="2"/>
          <w:sz w:val="24"/>
          <w:szCs w:val="24"/>
          <w:lang w:val="en-US" w:eastAsia="zh-CN" w:bidi="ar-SA"/>
        </w:rPr>
        <w:t>一批手术器械</w:t>
      </w:r>
      <w:r>
        <w:rPr>
          <w:rFonts w:hint="eastAsia" w:ascii="宋体" w:hAnsi="宋体" w:eastAsia="宋体" w:cs="宋体"/>
          <w:color w:val="000000"/>
          <w:kern w:val="2"/>
          <w:sz w:val="24"/>
          <w:szCs w:val="24"/>
          <w:lang w:val="en-US" w:eastAsia="zh-CN" w:bidi="ar-SA"/>
        </w:rPr>
        <w:t>。</w:t>
      </w:r>
    </w:p>
    <w:p>
      <w:pPr>
        <w:pStyle w:val="7"/>
        <w:numPr>
          <w:ilvl w:val="0"/>
          <w:numId w:val="0"/>
        </w:numPr>
        <w:ind w:firstLine="562" w:firstLineChars="200"/>
        <w:rPr>
          <w:rFonts w:hint="eastAsia" w:cs="宋体"/>
          <w:b/>
          <w:bCs/>
          <w:sz w:val="28"/>
          <w:szCs w:val="28"/>
          <w:lang w:val="en-US" w:eastAsia="zh-CN"/>
        </w:rPr>
      </w:pPr>
      <w:r>
        <w:rPr>
          <w:rFonts w:hint="eastAsia" w:cs="宋体"/>
          <w:b/>
          <w:bCs/>
          <w:sz w:val="28"/>
          <w:szCs w:val="28"/>
          <w:lang w:val="en-US" w:eastAsia="zh-CN"/>
        </w:rPr>
        <w:t>二、项目清单</w:t>
      </w:r>
    </w:p>
    <w:p>
      <w:pPr>
        <w:pStyle w:val="7"/>
        <w:numPr>
          <w:ilvl w:val="0"/>
          <w:numId w:val="0"/>
        </w:numPr>
        <w:ind w:firstLine="562" w:firstLineChars="200"/>
        <w:rPr>
          <w:rFonts w:hint="eastAsia" w:cs="宋体"/>
          <w:b/>
          <w:bCs/>
          <w:sz w:val="28"/>
          <w:szCs w:val="28"/>
          <w:lang w:val="en-US" w:eastAsia="zh-CN"/>
        </w:rPr>
      </w:pPr>
    </w:p>
    <w:tbl>
      <w:tblPr>
        <w:tblStyle w:val="16"/>
        <w:tblW w:w="8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160"/>
        <w:gridCol w:w="2520"/>
        <w:gridCol w:w="1116"/>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76" w:type="dxa"/>
            <w:noWrap w:val="0"/>
            <w:vAlign w:val="top"/>
          </w:tcPr>
          <w:p>
            <w:pPr>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序号</w:t>
            </w:r>
          </w:p>
        </w:tc>
        <w:tc>
          <w:tcPr>
            <w:tcW w:w="2160" w:type="dxa"/>
            <w:noWrap w:val="0"/>
            <w:vAlign w:val="top"/>
          </w:tcPr>
          <w:p>
            <w:pPr>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器械名称</w:t>
            </w:r>
          </w:p>
        </w:tc>
        <w:tc>
          <w:tcPr>
            <w:tcW w:w="2520" w:type="dxa"/>
            <w:noWrap w:val="0"/>
            <w:vAlign w:val="top"/>
          </w:tcPr>
          <w:p>
            <w:pPr>
              <w:jc w:val="center"/>
              <w:rPr>
                <w:rFonts w:hint="eastAsia" w:ascii="宋体" w:hAnsi="宋体" w:eastAsia="宋体" w:cs="宋体"/>
                <w:b w:val="0"/>
                <w:color w:val="auto"/>
                <w:kern w:val="2"/>
                <w:sz w:val="24"/>
                <w:szCs w:val="24"/>
                <w:lang w:val="en-US" w:eastAsia="zh-CN" w:bidi="ar-SA"/>
              </w:rPr>
            </w:pPr>
            <w:r>
              <w:rPr>
                <w:rFonts w:hint="eastAsia" w:ascii="宋体" w:hAnsi="宋体" w:cs="宋体"/>
                <w:b w:val="0"/>
                <w:color w:val="auto"/>
                <w:kern w:val="2"/>
                <w:sz w:val="24"/>
                <w:szCs w:val="24"/>
                <w:lang w:val="en-US" w:eastAsia="zh-CN" w:bidi="ar-SA"/>
              </w:rPr>
              <w:t>型号</w:t>
            </w:r>
          </w:p>
        </w:tc>
        <w:tc>
          <w:tcPr>
            <w:tcW w:w="1116" w:type="dxa"/>
            <w:noWrap w:val="0"/>
            <w:vAlign w:val="top"/>
          </w:tcPr>
          <w:p>
            <w:pPr>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单位</w:t>
            </w:r>
          </w:p>
        </w:tc>
        <w:tc>
          <w:tcPr>
            <w:tcW w:w="1667" w:type="dxa"/>
            <w:noWrap w:val="0"/>
            <w:vAlign w:val="top"/>
          </w:tcPr>
          <w:p>
            <w:pPr>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w:t>
            </w:r>
          </w:p>
        </w:tc>
        <w:tc>
          <w:tcPr>
            <w:tcW w:w="216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施夹器</w:t>
            </w:r>
          </w:p>
        </w:tc>
        <w:tc>
          <w:tcPr>
            <w:tcW w:w="2520" w:type="dxa"/>
            <w:shd w:val="clear" w:color="auto" w:fill="FFFFFF"/>
            <w:noWrap w:val="0"/>
            <w:vAlign w:val="center"/>
          </w:tcPr>
          <w:p>
            <w:pPr>
              <w:jc w:val="center"/>
              <w:rPr>
                <w:rFonts w:hint="eastAsia" w:ascii="宋体" w:hAnsi="宋体" w:eastAsia="宋体" w:cs="宋体"/>
                <w:b w:val="0"/>
                <w:color w:val="auto"/>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Φ5.5×330</w:t>
            </w:r>
            <w:r>
              <w:rPr>
                <w:rFonts w:hint="eastAsia" w:ascii="宋体" w:hAnsi="宋体" w:eastAsia="宋体" w:cs="宋体"/>
                <w:i w:val="0"/>
                <w:iCs w:val="0"/>
                <w:color w:val="000000"/>
                <w:kern w:val="0"/>
                <w:sz w:val="22"/>
                <w:szCs w:val="22"/>
                <w:u w:val="none"/>
                <w:lang w:val="en-US" w:eastAsia="zh-CN" w:bidi="ar"/>
              </w:rPr>
              <w:t>mm</w:t>
            </w:r>
          </w:p>
        </w:tc>
        <w:tc>
          <w:tcPr>
            <w:tcW w:w="111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color w:val="auto"/>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1667"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color w:val="auto"/>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w:t>
            </w:r>
          </w:p>
        </w:tc>
        <w:tc>
          <w:tcPr>
            <w:tcW w:w="216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施夹器</w:t>
            </w:r>
          </w:p>
        </w:tc>
        <w:tc>
          <w:tcPr>
            <w:tcW w:w="2520" w:type="dxa"/>
            <w:shd w:val="clear" w:color="auto" w:fill="FFFFFF"/>
            <w:noWrap w:val="0"/>
            <w:vAlign w:val="center"/>
          </w:tcPr>
          <w:p>
            <w:pPr>
              <w:jc w:val="center"/>
              <w:rPr>
                <w:rFonts w:hint="eastAsia" w:ascii="宋体" w:hAnsi="宋体" w:eastAsia="宋体" w:cs="宋体"/>
                <w:b w:val="0"/>
                <w:color w:val="auto"/>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Φ10×330</w:t>
            </w:r>
            <w:r>
              <w:rPr>
                <w:rFonts w:hint="eastAsia" w:ascii="宋体" w:hAnsi="宋体" w:eastAsia="宋体" w:cs="宋体"/>
                <w:i w:val="0"/>
                <w:iCs w:val="0"/>
                <w:color w:val="000000"/>
                <w:kern w:val="0"/>
                <w:sz w:val="22"/>
                <w:szCs w:val="22"/>
                <w:u w:val="none"/>
                <w:lang w:val="en-US" w:eastAsia="zh-CN" w:bidi="ar"/>
              </w:rPr>
              <w:t>mm</w:t>
            </w:r>
          </w:p>
        </w:tc>
        <w:tc>
          <w:tcPr>
            <w:tcW w:w="111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color w:val="auto"/>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1667"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color w:val="auto"/>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w:t>
            </w:r>
          </w:p>
        </w:tc>
        <w:tc>
          <w:tcPr>
            <w:tcW w:w="216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单极电凝钩</w:t>
            </w:r>
          </w:p>
        </w:tc>
        <w:tc>
          <w:tcPr>
            <w:tcW w:w="2520" w:type="dxa"/>
            <w:shd w:val="clear" w:color="auto" w:fill="FFFFFF"/>
            <w:noWrap w:val="0"/>
            <w:vAlign w:val="center"/>
          </w:tcPr>
          <w:p>
            <w:pPr>
              <w:jc w:val="center"/>
              <w:rPr>
                <w:rFonts w:hint="eastAsia" w:ascii="宋体" w:hAnsi="宋体" w:eastAsia="宋体" w:cs="宋体"/>
                <w:b w:val="0"/>
                <w:color w:val="auto"/>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Φ5×330m</w:t>
            </w:r>
            <w:r>
              <w:rPr>
                <w:rFonts w:hint="eastAsia" w:ascii="宋体" w:hAnsi="宋体" w:eastAsia="宋体" w:cs="宋体"/>
                <w:i w:val="0"/>
                <w:iCs w:val="0"/>
                <w:color w:val="000000"/>
                <w:kern w:val="0"/>
                <w:sz w:val="22"/>
                <w:szCs w:val="22"/>
                <w:u w:val="none"/>
                <w:lang w:val="en-US" w:eastAsia="zh-CN" w:bidi="ar"/>
              </w:rPr>
              <w:t>m</w:t>
            </w:r>
          </w:p>
        </w:tc>
        <w:tc>
          <w:tcPr>
            <w:tcW w:w="111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color w:val="auto"/>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支</w:t>
            </w:r>
          </w:p>
        </w:tc>
        <w:tc>
          <w:tcPr>
            <w:tcW w:w="1667"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iCs w:val="0"/>
                <w:color w:val="000000"/>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w:t>
            </w:r>
          </w:p>
        </w:tc>
        <w:tc>
          <w:tcPr>
            <w:tcW w:w="216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弯剪刀</w:t>
            </w:r>
          </w:p>
        </w:tc>
        <w:tc>
          <w:tcPr>
            <w:tcW w:w="2520" w:type="dxa"/>
            <w:shd w:val="clear" w:color="auto" w:fill="FFFFFF"/>
            <w:noWrap w:val="0"/>
            <w:vAlign w:val="center"/>
          </w:tcPr>
          <w:p>
            <w:pPr>
              <w:jc w:val="center"/>
              <w:rPr>
                <w:rFonts w:hint="eastAsia" w:ascii="宋体" w:hAnsi="宋体" w:eastAsia="宋体" w:cs="宋体"/>
                <w:b w:val="0"/>
                <w:color w:val="auto"/>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Φ5×330mm</w:t>
            </w:r>
          </w:p>
        </w:tc>
        <w:tc>
          <w:tcPr>
            <w:tcW w:w="111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color w:val="auto"/>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1667"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iCs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5</w:t>
            </w:r>
          </w:p>
        </w:tc>
        <w:tc>
          <w:tcPr>
            <w:tcW w:w="216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鼠牙抓钳</w:t>
            </w:r>
          </w:p>
        </w:tc>
        <w:tc>
          <w:tcPr>
            <w:tcW w:w="2520" w:type="dxa"/>
            <w:shd w:val="clear" w:color="auto" w:fill="FFFFFF"/>
            <w:noWrap w:val="0"/>
            <w:vAlign w:val="center"/>
          </w:tcPr>
          <w:p>
            <w:pPr>
              <w:jc w:val="center"/>
              <w:rPr>
                <w:rFonts w:hint="eastAsia" w:ascii="宋体" w:hAnsi="宋体" w:eastAsia="宋体" w:cs="宋体"/>
                <w:b w:val="0"/>
                <w:color w:val="auto"/>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Φ5×330mm</w:t>
            </w:r>
          </w:p>
        </w:tc>
        <w:tc>
          <w:tcPr>
            <w:tcW w:w="111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color w:val="auto"/>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把</w:t>
            </w:r>
          </w:p>
        </w:tc>
        <w:tc>
          <w:tcPr>
            <w:tcW w:w="1667"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iCs w:val="0"/>
                <w:color w:val="000000"/>
                <w:kern w:val="0"/>
                <w:sz w:val="24"/>
                <w:szCs w:val="24"/>
                <w:u w:val="none"/>
                <w:lang w:val="en-US" w:eastAsia="zh-CN" w:bidi="ar"/>
              </w:rPr>
              <w:t>2</w:t>
            </w:r>
          </w:p>
        </w:tc>
      </w:tr>
    </w:tbl>
    <w:p>
      <w:pPr>
        <w:pStyle w:val="5"/>
        <w:spacing w:line="400" w:lineRule="exact"/>
        <w:ind w:firstLine="480" w:firstLineChars="200"/>
        <w:rPr>
          <w:rFonts w:hint="default" w:ascii="宋体" w:hAnsi="宋体"/>
          <w:b/>
          <w:bCs/>
          <w:color w:val="000000"/>
          <w:sz w:val="28"/>
          <w:szCs w:val="28"/>
          <w:lang w:val="en-US" w:eastAsia="zh-CN"/>
        </w:rPr>
      </w:pPr>
      <w:r>
        <w:rPr>
          <w:rFonts w:hint="eastAsia" w:ascii="宋体" w:hAnsi="宋体" w:eastAsia="宋体" w:cs="Times New Roman"/>
          <w:b w:val="0"/>
          <w:bCs w:val="0"/>
          <w:color w:val="FF0000"/>
          <w:sz w:val="24"/>
          <w:lang w:val="en-US" w:eastAsia="zh-CN"/>
        </w:rPr>
        <w:t>注：所有产品需提供样品（样品必须齐全，否则视为无效投标）。</w:t>
      </w:r>
    </w:p>
    <w:p>
      <w:pPr>
        <w:pStyle w:val="5"/>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pStyle w:val="7"/>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hAnsi="宋体" w:cs="宋体"/>
          <w:kern w:val="0"/>
          <w:sz w:val="24"/>
          <w:lang w:val="en-US" w:eastAsia="zh-CN"/>
        </w:rPr>
      </w:pPr>
      <w:r>
        <w:rPr>
          <w:rFonts w:hint="eastAsia" w:cs="宋体"/>
          <w:kern w:val="0"/>
          <w:sz w:val="24"/>
          <w:lang w:val="en-US" w:eastAsia="zh-CN"/>
        </w:rPr>
        <w:t>（一）</w:t>
      </w:r>
      <w:r>
        <w:rPr>
          <w:rFonts w:hint="eastAsia" w:hAnsi="宋体" w:cs="宋体"/>
          <w:kern w:val="0"/>
          <w:sz w:val="24"/>
          <w:lang w:val="en-US" w:eastAsia="zh-CN"/>
        </w:rPr>
        <w:t>技术参数</w:t>
      </w:r>
    </w:p>
    <w:p>
      <w:pPr>
        <w:pStyle w:val="7"/>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default" w:hAnsi="宋体" w:cs="宋体"/>
          <w:b/>
          <w:bCs/>
          <w:kern w:val="0"/>
          <w:sz w:val="24"/>
          <w:szCs w:val="24"/>
          <w:lang w:val="en-US" w:eastAsia="zh-CN"/>
        </w:rPr>
      </w:pPr>
      <w:r>
        <w:rPr>
          <w:rFonts w:hint="eastAsia" w:cs="宋体"/>
          <w:b/>
          <w:bCs/>
          <w:kern w:val="0"/>
          <w:sz w:val="24"/>
          <w:szCs w:val="24"/>
          <w:lang w:val="en-US" w:eastAsia="zh-CN"/>
        </w:rPr>
        <w:t>1、</w:t>
      </w:r>
      <w:r>
        <w:rPr>
          <w:rFonts w:hint="eastAsia" w:hAnsi="宋体" w:cs="宋体"/>
          <w:b/>
          <w:bCs/>
          <w:kern w:val="0"/>
          <w:sz w:val="24"/>
          <w:szCs w:val="24"/>
          <w:lang w:val="en-US" w:eastAsia="zh-CN"/>
        </w:rPr>
        <w:t>施夹器</w:t>
      </w:r>
      <w:r>
        <w:rPr>
          <w:rFonts w:hint="eastAsia" w:cs="宋体"/>
          <w:b/>
          <w:bCs/>
          <w:kern w:val="0"/>
          <w:sz w:val="24"/>
          <w:szCs w:val="24"/>
          <w:lang w:val="en-US" w:eastAsia="zh-CN"/>
        </w:rPr>
        <w:t>（</w:t>
      </w:r>
      <w:r>
        <w:rPr>
          <w:rFonts w:hint="eastAsia" w:hAnsi="宋体" w:cs="宋体"/>
          <w:b/>
          <w:bCs/>
          <w:kern w:val="0"/>
          <w:sz w:val="24"/>
          <w:szCs w:val="24"/>
          <w:lang w:val="en-US" w:eastAsia="zh-CN"/>
        </w:rPr>
        <w:t>Φ5.5×330</w:t>
      </w:r>
      <w:r>
        <w:rPr>
          <w:rFonts w:hint="eastAsia" w:cs="宋体"/>
          <w:b/>
          <w:bCs/>
          <w:kern w:val="0"/>
          <w:sz w:val="24"/>
          <w:szCs w:val="24"/>
          <w:lang w:val="en-US" w:eastAsia="zh-CN"/>
        </w:rPr>
        <w:t>）</w:t>
      </w:r>
    </w:p>
    <w:p>
      <w:pPr>
        <w:pStyle w:val="7"/>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hAnsi="宋体" w:cs="宋体"/>
          <w:kern w:val="0"/>
          <w:sz w:val="24"/>
          <w:lang w:val="en-US" w:eastAsia="zh-CN"/>
        </w:rPr>
      </w:pPr>
      <w:r>
        <w:rPr>
          <w:rFonts w:hint="eastAsia" w:cs="宋体"/>
          <w:kern w:val="0"/>
          <w:sz w:val="24"/>
          <w:lang w:val="en-US" w:eastAsia="zh-CN"/>
        </w:rPr>
        <w:t>（</w:t>
      </w:r>
      <w:r>
        <w:rPr>
          <w:rFonts w:hint="eastAsia" w:hAnsi="宋体" w:cs="宋体"/>
          <w:kern w:val="0"/>
          <w:sz w:val="24"/>
          <w:lang w:val="en-US" w:eastAsia="zh-CN"/>
        </w:rPr>
        <w:t>1</w:t>
      </w:r>
      <w:r>
        <w:rPr>
          <w:rFonts w:hint="eastAsia" w:cs="宋体"/>
          <w:kern w:val="0"/>
          <w:sz w:val="24"/>
          <w:lang w:val="en-US" w:eastAsia="zh-CN"/>
        </w:rPr>
        <w:t>）</w:t>
      </w:r>
      <w:r>
        <w:rPr>
          <w:rFonts w:hint="eastAsia" w:hAnsi="宋体" w:cs="宋体"/>
          <w:kern w:val="0"/>
          <w:sz w:val="24"/>
          <w:lang w:val="en-US" w:eastAsia="zh-CN"/>
        </w:rPr>
        <w:t>夹持性能：φ5mm外径的钳子夹持力不小于20N，钳头采用ASTM F899-09种的630号钢制造，杆部与患者接触材料采用YY/T0294.1-2016中M号钢制造。施夹器硬度为300HV0.2-600HV0.2（或29.8HRC-55.2HRC）。器械进入人体部分表面粗糙度：抛光表面Ra参数值的最大值为0.2μm，亚光表面Ra参数值的最大值为0.8μm，其余部分的最大值为1.6μm。耐腐蚀性能不低于YY/T0149-2006中5.4b级的规定。</w:t>
      </w:r>
    </w:p>
    <w:p>
      <w:pPr>
        <w:pStyle w:val="7"/>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hAnsi="宋体" w:cs="宋体"/>
          <w:kern w:val="0"/>
          <w:sz w:val="24"/>
          <w:lang w:val="en-US" w:eastAsia="zh-CN"/>
        </w:rPr>
      </w:pPr>
      <w:r>
        <w:rPr>
          <w:rFonts w:hint="eastAsia" w:cs="宋体"/>
          <w:kern w:val="0"/>
          <w:sz w:val="24"/>
          <w:lang w:val="en-US" w:eastAsia="zh-CN"/>
        </w:rPr>
        <w:t>（</w:t>
      </w:r>
      <w:r>
        <w:rPr>
          <w:rFonts w:hint="eastAsia" w:hAnsi="宋体" w:cs="宋体"/>
          <w:kern w:val="0"/>
          <w:sz w:val="24"/>
          <w:lang w:val="en-US" w:eastAsia="zh-CN"/>
        </w:rPr>
        <w:t>2</w:t>
      </w:r>
      <w:r>
        <w:rPr>
          <w:rFonts w:hint="eastAsia" w:cs="宋体"/>
          <w:kern w:val="0"/>
          <w:sz w:val="24"/>
          <w:lang w:val="en-US" w:eastAsia="zh-CN"/>
        </w:rPr>
        <w:t>）</w:t>
      </w:r>
      <w:r>
        <w:rPr>
          <w:rFonts w:hint="eastAsia" w:hAnsi="宋体" w:cs="宋体"/>
          <w:kern w:val="0"/>
          <w:sz w:val="24"/>
          <w:lang w:val="en-US" w:eastAsia="zh-CN"/>
        </w:rPr>
        <w:t>可360°旋转，满足腔镜手术的各种角度需要。</w:t>
      </w:r>
    </w:p>
    <w:p>
      <w:pPr>
        <w:pStyle w:val="7"/>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hAnsi="宋体" w:cs="宋体"/>
          <w:kern w:val="0"/>
          <w:sz w:val="24"/>
          <w:lang w:val="en-US" w:eastAsia="zh-CN"/>
        </w:rPr>
      </w:pPr>
      <w:r>
        <w:rPr>
          <w:rFonts w:hint="eastAsia" w:cs="宋体"/>
          <w:kern w:val="0"/>
          <w:sz w:val="24"/>
          <w:lang w:val="en-US" w:eastAsia="zh-CN"/>
        </w:rPr>
        <w:t>（</w:t>
      </w:r>
      <w:r>
        <w:rPr>
          <w:rFonts w:hint="eastAsia" w:hAnsi="宋体" w:cs="宋体"/>
          <w:kern w:val="0"/>
          <w:sz w:val="24"/>
          <w:lang w:val="en-US" w:eastAsia="zh-CN"/>
        </w:rPr>
        <w:t>3</w:t>
      </w:r>
      <w:r>
        <w:rPr>
          <w:rFonts w:hint="eastAsia" w:cs="宋体"/>
          <w:kern w:val="0"/>
          <w:sz w:val="24"/>
          <w:lang w:val="en-US" w:eastAsia="zh-CN"/>
        </w:rPr>
        <w:t>）</w:t>
      </w:r>
      <w:r>
        <w:rPr>
          <w:rFonts w:hint="eastAsia" w:hAnsi="宋体" w:cs="宋体"/>
          <w:kern w:val="0"/>
          <w:sz w:val="24"/>
          <w:lang w:val="en-US" w:eastAsia="zh-CN"/>
        </w:rPr>
        <w:t>头部弯曲角度，可以保证良好的手术视野以及不同角度走向的血管。</w:t>
      </w:r>
    </w:p>
    <w:p>
      <w:pPr>
        <w:pStyle w:val="7"/>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hAnsi="宋体" w:cs="宋体"/>
          <w:kern w:val="0"/>
          <w:sz w:val="24"/>
          <w:lang w:val="en-US" w:eastAsia="zh-CN"/>
        </w:rPr>
      </w:pPr>
      <w:r>
        <w:rPr>
          <w:rFonts w:hint="eastAsia" w:cs="宋体"/>
          <w:kern w:val="0"/>
          <w:sz w:val="24"/>
          <w:lang w:val="en-US" w:eastAsia="zh-CN"/>
        </w:rPr>
        <w:t>（</w:t>
      </w:r>
      <w:r>
        <w:rPr>
          <w:rFonts w:hint="eastAsia" w:hAnsi="宋体" w:cs="宋体"/>
          <w:kern w:val="0"/>
          <w:sz w:val="24"/>
          <w:lang w:val="en-US" w:eastAsia="zh-CN"/>
        </w:rPr>
        <w:t>4</w:t>
      </w:r>
      <w:r>
        <w:rPr>
          <w:rFonts w:hint="eastAsia" w:cs="宋体"/>
          <w:kern w:val="0"/>
          <w:sz w:val="24"/>
          <w:lang w:val="en-US" w:eastAsia="zh-CN"/>
        </w:rPr>
        <w:t>）</w:t>
      </w:r>
      <w:r>
        <w:rPr>
          <w:rFonts w:hint="eastAsia" w:hAnsi="宋体" w:cs="宋体"/>
          <w:kern w:val="0"/>
          <w:sz w:val="24"/>
          <w:lang w:val="en-US" w:eastAsia="zh-CN"/>
        </w:rPr>
        <w:t>夹子固定牢靠，术中不易掉夹。</w:t>
      </w:r>
    </w:p>
    <w:p>
      <w:pPr>
        <w:pStyle w:val="7"/>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hAnsi="宋体" w:cs="宋体"/>
          <w:kern w:val="0"/>
          <w:sz w:val="24"/>
          <w:lang w:val="en-US" w:eastAsia="zh-CN"/>
        </w:rPr>
      </w:pPr>
      <w:r>
        <w:rPr>
          <w:rFonts w:hint="eastAsia" w:cs="宋体"/>
          <w:b/>
          <w:bCs/>
          <w:kern w:val="0"/>
          <w:sz w:val="24"/>
          <w:lang w:val="en-US" w:eastAsia="zh-CN"/>
        </w:rPr>
        <w:t>2、</w:t>
      </w:r>
      <w:r>
        <w:rPr>
          <w:rFonts w:hint="eastAsia" w:hAnsi="宋体" w:cs="宋体"/>
          <w:b/>
          <w:bCs/>
          <w:kern w:val="0"/>
          <w:sz w:val="24"/>
          <w:lang w:val="en-US" w:eastAsia="zh-CN"/>
        </w:rPr>
        <w:t>施夹器</w:t>
      </w:r>
      <w:r>
        <w:rPr>
          <w:rFonts w:hint="eastAsia" w:cs="宋体"/>
          <w:b/>
          <w:bCs/>
          <w:kern w:val="0"/>
          <w:sz w:val="24"/>
          <w:lang w:val="en-US" w:eastAsia="zh-CN"/>
        </w:rPr>
        <w:t>（</w:t>
      </w:r>
      <w:r>
        <w:rPr>
          <w:rFonts w:hint="eastAsia" w:hAnsi="宋体" w:cs="宋体"/>
          <w:b/>
          <w:bCs/>
          <w:kern w:val="0"/>
          <w:sz w:val="24"/>
          <w:lang w:val="en-US" w:eastAsia="zh-CN"/>
        </w:rPr>
        <w:t>Φ10×330</w:t>
      </w:r>
      <w:r>
        <w:rPr>
          <w:rFonts w:hint="eastAsia" w:cs="宋体"/>
          <w:b/>
          <w:bCs/>
          <w:kern w:val="0"/>
          <w:sz w:val="24"/>
          <w:lang w:val="en-US" w:eastAsia="zh-CN"/>
        </w:rPr>
        <w:t>）</w:t>
      </w:r>
    </w:p>
    <w:p>
      <w:pPr>
        <w:pStyle w:val="7"/>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hAnsi="宋体" w:cs="宋体"/>
          <w:kern w:val="0"/>
          <w:sz w:val="24"/>
          <w:lang w:val="en-US" w:eastAsia="zh-CN"/>
        </w:rPr>
      </w:pPr>
      <w:r>
        <w:rPr>
          <w:rFonts w:hint="eastAsia" w:cs="宋体"/>
          <w:kern w:val="0"/>
          <w:sz w:val="24"/>
          <w:lang w:val="en-US" w:eastAsia="zh-CN"/>
        </w:rPr>
        <w:t>（</w:t>
      </w:r>
      <w:r>
        <w:rPr>
          <w:rFonts w:hint="eastAsia" w:hAnsi="宋体" w:cs="宋体"/>
          <w:kern w:val="0"/>
          <w:sz w:val="24"/>
          <w:lang w:val="en-US" w:eastAsia="zh-CN"/>
        </w:rPr>
        <w:t>1</w:t>
      </w:r>
      <w:r>
        <w:rPr>
          <w:rFonts w:hint="eastAsia" w:cs="宋体"/>
          <w:kern w:val="0"/>
          <w:sz w:val="24"/>
          <w:lang w:val="en-US" w:eastAsia="zh-CN"/>
        </w:rPr>
        <w:t>）</w:t>
      </w:r>
      <w:r>
        <w:rPr>
          <w:rFonts w:hint="eastAsia" w:hAnsi="宋体" w:cs="宋体"/>
          <w:kern w:val="0"/>
          <w:sz w:val="24"/>
          <w:lang w:val="en-US" w:eastAsia="zh-CN"/>
        </w:rPr>
        <w:t>夹持性能：φ10mm外径钳子夹持力不小于40N。钳头采用ASTM F899-09种的630号钢制造，杆部与患者接触材料采用YY/T0294.1-2016中M号钢制造。施夹器硬度为300HV0.2-600HV0.2（或29.8HRC-55.2HRC）。器械进入人体部分表面粗糙度：抛光表面Ra参数值的最大值为0.2μm，亚光表面Ra参数值的最大值为0.8μm，其余部分的最大值为1.6μm。耐腐蚀性能不低于YY/T0149-2006中5.4b级的规定。</w:t>
      </w:r>
    </w:p>
    <w:p>
      <w:pPr>
        <w:pStyle w:val="7"/>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hAnsi="宋体" w:cs="宋体"/>
          <w:kern w:val="0"/>
          <w:sz w:val="24"/>
          <w:lang w:val="en-US" w:eastAsia="zh-CN"/>
        </w:rPr>
      </w:pPr>
      <w:r>
        <w:rPr>
          <w:rFonts w:hint="eastAsia" w:cs="宋体"/>
          <w:kern w:val="0"/>
          <w:sz w:val="24"/>
          <w:lang w:val="en-US" w:eastAsia="zh-CN"/>
        </w:rPr>
        <w:t>（</w:t>
      </w:r>
      <w:r>
        <w:rPr>
          <w:rFonts w:hint="eastAsia" w:hAnsi="宋体" w:cs="宋体"/>
          <w:kern w:val="0"/>
          <w:sz w:val="24"/>
          <w:lang w:val="en-US" w:eastAsia="zh-CN"/>
        </w:rPr>
        <w:t>2</w:t>
      </w:r>
      <w:r>
        <w:rPr>
          <w:rFonts w:hint="eastAsia" w:cs="宋体"/>
          <w:kern w:val="0"/>
          <w:sz w:val="24"/>
          <w:lang w:val="en-US" w:eastAsia="zh-CN"/>
        </w:rPr>
        <w:t>）</w:t>
      </w:r>
      <w:r>
        <w:rPr>
          <w:rFonts w:hint="eastAsia" w:hAnsi="宋体" w:cs="宋体"/>
          <w:kern w:val="0"/>
          <w:sz w:val="24"/>
          <w:lang w:val="en-US" w:eastAsia="zh-CN"/>
        </w:rPr>
        <w:t>可360°旋转，满足腔镜手术的各种角度需要。</w:t>
      </w:r>
    </w:p>
    <w:p>
      <w:pPr>
        <w:pStyle w:val="7"/>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hAnsi="宋体" w:cs="宋体"/>
          <w:kern w:val="0"/>
          <w:sz w:val="24"/>
          <w:lang w:val="en-US" w:eastAsia="zh-CN"/>
        </w:rPr>
      </w:pPr>
      <w:r>
        <w:rPr>
          <w:rFonts w:hint="eastAsia" w:cs="宋体"/>
          <w:kern w:val="0"/>
          <w:sz w:val="24"/>
          <w:lang w:val="en-US" w:eastAsia="zh-CN"/>
        </w:rPr>
        <w:t>（</w:t>
      </w:r>
      <w:r>
        <w:rPr>
          <w:rFonts w:hint="eastAsia" w:hAnsi="宋体" w:cs="宋体"/>
          <w:kern w:val="0"/>
          <w:sz w:val="24"/>
          <w:lang w:val="en-US" w:eastAsia="zh-CN"/>
        </w:rPr>
        <w:t>3</w:t>
      </w:r>
      <w:r>
        <w:rPr>
          <w:rFonts w:hint="eastAsia" w:cs="宋体"/>
          <w:kern w:val="0"/>
          <w:sz w:val="24"/>
          <w:lang w:val="en-US" w:eastAsia="zh-CN"/>
        </w:rPr>
        <w:t>）</w:t>
      </w:r>
      <w:r>
        <w:rPr>
          <w:rFonts w:hint="eastAsia" w:hAnsi="宋体" w:cs="宋体"/>
          <w:kern w:val="0"/>
          <w:sz w:val="24"/>
          <w:lang w:val="en-US" w:eastAsia="zh-CN"/>
        </w:rPr>
        <w:t>头部弯曲角度，可以保证良好的手术视野以及不同角度走向的血管。</w:t>
      </w:r>
    </w:p>
    <w:p>
      <w:pPr>
        <w:pStyle w:val="7"/>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hAnsi="宋体" w:cs="宋体"/>
          <w:kern w:val="0"/>
          <w:sz w:val="24"/>
          <w:lang w:val="en-US" w:eastAsia="zh-CN"/>
        </w:rPr>
      </w:pPr>
      <w:r>
        <w:rPr>
          <w:rFonts w:hint="eastAsia" w:cs="宋体"/>
          <w:kern w:val="0"/>
          <w:sz w:val="24"/>
          <w:lang w:val="en-US" w:eastAsia="zh-CN"/>
        </w:rPr>
        <w:t>（</w:t>
      </w:r>
      <w:r>
        <w:rPr>
          <w:rFonts w:hint="eastAsia" w:hAnsi="宋体" w:cs="宋体"/>
          <w:kern w:val="0"/>
          <w:sz w:val="24"/>
          <w:lang w:val="en-US" w:eastAsia="zh-CN"/>
        </w:rPr>
        <w:t>4</w:t>
      </w:r>
      <w:r>
        <w:rPr>
          <w:rFonts w:hint="eastAsia" w:cs="宋体"/>
          <w:kern w:val="0"/>
          <w:sz w:val="24"/>
          <w:lang w:val="en-US" w:eastAsia="zh-CN"/>
        </w:rPr>
        <w:t>）</w:t>
      </w:r>
      <w:r>
        <w:rPr>
          <w:rFonts w:hint="eastAsia" w:hAnsi="宋体" w:cs="宋体"/>
          <w:kern w:val="0"/>
          <w:sz w:val="24"/>
          <w:lang w:val="en-US" w:eastAsia="zh-CN"/>
        </w:rPr>
        <w:t>夹子固定更牢靠，术中不易掉夹。</w:t>
      </w:r>
    </w:p>
    <w:p>
      <w:pPr>
        <w:pStyle w:val="7"/>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default" w:hAnsi="宋体" w:cs="宋体"/>
          <w:kern w:val="0"/>
          <w:sz w:val="24"/>
          <w:lang w:val="en-US" w:eastAsia="zh-CN"/>
        </w:rPr>
      </w:pPr>
      <w:r>
        <w:rPr>
          <w:rFonts w:hint="eastAsia" w:cs="宋体"/>
          <w:b/>
          <w:bCs/>
          <w:kern w:val="0"/>
          <w:sz w:val="24"/>
          <w:lang w:val="en-US" w:eastAsia="zh-CN"/>
        </w:rPr>
        <w:t>3、</w:t>
      </w:r>
      <w:r>
        <w:rPr>
          <w:rFonts w:hint="eastAsia" w:hAnsi="宋体" w:cs="宋体"/>
          <w:b/>
          <w:bCs/>
          <w:kern w:val="0"/>
          <w:sz w:val="24"/>
          <w:lang w:val="en-US" w:eastAsia="zh-CN"/>
        </w:rPr>
        <w:t>单极电凝钩</w:t>
      </w:r>
    </w:p>
    <w:p>
      <w:pPr>
        <w:pStyle w:val="7"/>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hAnsi="宋体" w:cs="宋体"/>
          <w:kern w:val="0"/>
          <w:sz w:val="24"/>
          <w:lang w:val="en-US" w:eastAsia="zh-CN"/>
        </w:rPr>
      </w:pPr>
      <w:r>
        <w:rPr>
          <w:rFonts w:hint="eastAsia" w:hAnsi="宋体" w:cs="宋体"/>
          <w:kern w:val="0"/>
          <w:sz w:val="24"/>
          <w:lang w:val="en-US" w:eastAsia="zh-CN"/>
        </w:rPr>
        <w:t>单极电凝头部采用YY/T 0294.1-2016中M号钢，单极电凝刀头部采用YY/T 0294.1-2016中C号钢，绝缘套管用PEEK制造。进入患者部分表面粗糙度Ra参数值的最大值为0.4μm。耐腐蚀性能不低于YY/T0149-2006中5.4b级的规定。</w:t>
      </w:r>
    </w:p>
    <w:p>
      <w:pPr>
        <w:pStyle w:val="7"/>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default" w:hAnsi="宋体" w:cs="宋体"/>
          <w:b/>
          <w:bCs/>
          <w:kern w:val="0"/>
          <w:sz w:val="24"/>
          <w:lang w:val="en-US" w:eastAsia="zh-CN"/>
        </w:rPr>
      </w:pPr>
      <w:r>
        <w:rPr>
          <w:rFonts w:hint="eastAsia" w:cs="宋体"/>
          <w:b/>
          <w:bCs/>
          <w:kern w:val="0"/>
          <w:sz w:val="24"/>
          <w:lang w:val="en-US" w:eastAsia="zh-CN"/>
        </w:rPr>
        <w:t>4、</w:t>
      </w:r>
      <w:r>
        <w:rPr>
          <w:rFonts w:hint="eastAsia" w:hAnsi="宋体" w:cs="宋体"/>
          <w:b/>
          <w:bCs/>
          <w:kern w:val="0"/>
          <w:sz w:val="24"/>
          <w:lang w:val="en-US" w:eastAsia="zh-CN"/>
        </w:rPr>
        <w:t>弯剪刀</w:t>
      </w:r>
    </w:p>
    <w:p>
      <w:pPr>
        <w:pStyle w:val="7"/>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hAnsi="宋体" w:cs="宋体"/>
          <w:kern w:val="0"/>
          <w:sz w:val="24"/>
          <w:lang w:val="en-US" w:eastAsia="zh-CN"/>
        </w:rPr>
      </w:pPr>
      <w:r>
        <w:rPr>
          <w:rFonts w:hint="eastAsia" w:cs="宋体"/>
          <w:kern w:val="0"/>
          <w:sz w:val="24"/>
          <w:lang w:val="en-US" w:eastAsia="zh-CN"/>
        </w:rPr>
        <w:t>（</w:t>
      </w:r>
      <w:r>
        <w:rPr>
          <w:rFonts w:hint="eastAsia" w:hAnsi="宋体" w:cs="宋体"/>
          <w:kern w:val="0"/>
          <w:sz w:val="24"/>
          <w:lang w:val="en-US" w:eastAsia="zh-CN"/>
        </w:rPr>
        <w:t>1</w:t>
      </w:r>
      <w:r>
        <w:rPr>
          <w:rFonts w:hint="eastAsia" w:cs="宋体"/>
          <w:kern w:val="0"/>
          <w:sz w:val="24"/>
          <w:lang w:val="en-US" w:eastAsia="zh-CN"/>
        </w:rPr>
        <w:t>）</w:t>
      </w:r>
      <w:r>
        <w:rPr>
          <w:rFonts w:hint="eastAsia" w:hAnsi="宋体" w:cs="宋体"/>
          <w:kern w:val="0"/>
          <w:sz w:val="24"/>
          <w:lang w:val="en-US" w:eastAsia="zh-CN"/>
        </w:rPr>
        <w:t>头部采用YY/T 0294.1-2016中C号钢，钳杆及内芯采用YY/T 0294.1-2016中M号钢，绝缘套管用PEEK制造。其硬度不小于350HV0.2</w:t>
      </w:r>
    </w:p>
    <w:p>
      <w:pPr>
        <w:pStyle w:val="7"/>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hAnsi="宋体" w:cs="宋体"/>
          <w:kern w:val="0"/>
          <w:sz w:val="24"/>
          <w:lang w:val="en-US" w:eastAsia="zh-CN"/>
        </w:rPr>
      </w:pPr>
      <w:r>
        <w:rPr>
          <w:rFonts w:hint="eastAsia" w:cs="宋体"/>
          <w:kern w:val="0"/>
          <w:sz w:val="24"/>
          <w:lang w:val="en-US" w:eastAsia="zh-CN"/>
        </w:rPr>
        <w:t>（</w:t>
      </w:r>
      <w:r>
        <w:rPr>
          <w:rFonts w:hint="eastAsia" w:hAnsi="宋体" w:cs="宋体"/>
          <w:kern w:val="0"/>
          <w:sz w:val="24"/>
          <w:lang w:val="en-US" w:eastAsia="zh-CN"/>
        </w:rPr>
        <w:t>2</w:t>
      </w:r>
      <w:r>
        <w:rPr>
          <w:rFonts w:hint="eastAsia" w:cs="宋体"/>
          <w:kern w:val="0"/>
          <w:sz w:val="24"/>
          <w:lang w:val="en-US" w:eastAsia="zh-CN"/>
        </w:rPr>
        <w:t>）</w:t>
      </w:r>
      <w:r>
        <w:rPr>
          <w:rFonts w:hint="eastAsia" w:hAnsi="宋体" w:cs="宋体"/>
          <w:kern w:val="0"/>
          <w:sz w:val="24"/>
          <w:lang w:val="en-US" w:eastAsia="zh-CN"/>
        </w:rPr>
        <w:t>进入患者部分表面粗糙度Ra参数值的最大值为0.4μm。耐腐蚀性能不低于YY/T0149-2006中5.4b级的规定。</w:t>
      </w:r>
    </w:p>
    <w:p>
      <w:pPr>
        <w:pStyle w:val="7"/>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hAnsi="宋体" w:cs="宋体"/>
          <w:kern w:val="0"/>
          <w:sz w:val="24"/>
          <w:lang w:val="en-US" w:eastAsia="zh-CN"/>
        </w:rPr>
      </w:pPr>
      <w:r>
        <w:rPr>
          <w:rFonts w:hint="eastAsia" w:cs="宋体"/>
          <w:kern w:val="0"/>
          <w:sz w:val="24"/>
          <w:lang w:val="en-US" w:eastAsia="zh-CN"/>
        </w:rPr>
        <w:t>（</w:t>
      </w:r>
      <w:r>
        <w:rPr>
          <w:rFonts w:hint="eastAsia" w:hAnsi="宋体" w:cs="宋体"/>
          <w:kern w:val="0"/>
          <w:sz w:val="24"/>
          <w:lang w:val="en-US" w:eastAsia="zh-CN"/>
        </w:rPr>
        <w:t>3</w:t>
      </w:r>
      <w:r>
        <w:rPr>
          <w:rFonts w:hint="eastAsia" w:cs="宋体"/>
          <w:kern w:val="0"/>
          <w:sz w:val="24"/>
          <w:lang w:val="en-US" w:eastAsia="zh-CN"/>
        </w:rPr>
        <w:t>）</w:t>
      </w:r>
      <w:r>
        <w:rPr>
          <w:rFonts w:hint="eastAsia" w:hAnsi="宋体" w:cs="宋体"/>
          <w:kern w:val="0"/>
          <w:sz w:val="24"/>
          <w:lang w:val="en-US" w:eastAsia="zh-CN"/>
        </w:rPr>
        <w:t>头部材料采用高硬度不锈钢，寿命长。</w:t>
      </w:r>
    </w:p>
    <w:p>
      <w:pPr>
        <w:pStyle w:val="7"/>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hAnsi="宋体" w:cs="宋体"/>
          <w:kern w:val="0"/>
          <w:sz w:val="24"/>
          <w:lang w:val="en-US" w:eastAsia="zh-CN"/>
        </w:rPr>
      </w:pPr>
      <w:r>
        <w:rPr>
          <w:rFonts w:hint="eastAsia" w:cs="宋体"/>
          <w:kern w:val="0"/>
          <w:sz w:val="24"/>
          <w:lang w:val="en-US" w:eastAsia="zh-CN"/>
        </w:rPr>
        <w:t>（</w:t>
      </w:r>
      <w:r>
        <w:rPr>
          <w:rFonts w:hint="eastAsia" w:hAnsi="宋体" w:cs="宋体"/>
          <w:kern w:val="0"/>
          <w:sz w:val="24"/>
          <w:lang w:val="en-US" w:eastAsia="zh-CN"/>
        </w:rPr>
        <w:t>4</w:t>
      </w:r>
      <w:r>
        <w:rPr>
          <w:rFonts w:hint="eastAsia" w:cs="宋体"/>
          <w:kern w:val="0"/>
          <w:sz w:val="24"/>
          <w:lang w:val="en-US" w:eastAsia="zh-CN"/>
        </w:rPr>
        <w:t>）</w:t>
      </w:r>
      <w:r>
        <w:rPr>
          <w:rFonts w:hint="eastAsia" w:hAnsi="宋体" w:cs="宋体"/>
          <w:kern w:val="0"/>
          <w:sz w:val="24"/>
          <w:lang w:val="en-US" w:eastAsia="zh-CN"/>
        </w:rPr>
        <w:t>钳头张开角度不小于30°。</w:t>
      </w:r>
    </w:p>
    <w:p>
      <w:pPr>
        <w:pStyle w:val="7"/>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hAnsi="宋体" w:cs="宋体"/>
          <w:kern w:val="0"/>
          <w:sz w:val="24"/>
          <w:lang w:val="en-US" w:eastAsia="zh-CN"/>
        </w:rPr>
      </w:pPr>
      <w:r>
        <w:rPr>
          <w:rFonts w:hint="eastAsia" w:cs="宋体"/>
          <w:kern w:val="0"/>
          <w:sz w:val="24"/>
          <w:lang w:val="en-US" w:eastAsia="zh-CN"/>
        </w:rPr>
        <w:t>（</w:t>
      </w:r>
      <w:r>
        <w:rPr>
          <w:rFonts w:hint="eastAsia" w:hAnsi="宋体" w:cs="宋体"/>
          <w:kern w:val="0"/>
          <w:sz w:val="24"/>
          <w:lang w:val="en-US" w:eastAsia="zh-CN"/>
        </w:rPr>
        <w:t>5</w:t>
      </w:r>
      <w:r>
        <w:rPr>
          <w:rFonts w:hint="eastAsia" w:cs="宋体"/>
          <w:kern w:val="0"/>
          <w:sz w:val="24"/>
          <w:lang w:val="en-US" w:eastAsia="zh-CN"/>
        </w:rPr>
        <w:t>）</w:t>
      </w:r>
      <w:r>
        <w:rPr>
          <w:rFonts w:hint="eastAsia" w:hAnsi="宋体" w:cs="宋体"/>
          <w:kern w:val="0"/>
          <w:sz w:val="24"/>
          <w:lang w:val="en-US" w:eastAsia="zh-CN"/>
        </w:rPr>
        <w:t>可360°旋转，满足腔镜手术的各种角度需要。</w:t>
      </w:r>
    </w:p>
    <w:p>
      <w:pPr>
        <w:pStyle w:val="7"/>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hAnsi="宋体" w:cs="宋体"/>
          <w:kern w:val="0"/>
          <w:sz w:val="24"/>
          <w:lang w:val="en-US" w:eastAsia="zh-CN"/>
        </w:rPr>
      </w:pPr>
      <w:r>
        <w:rPr>
          <w:rFonts w:hint="eastAsia" w:cs="宋体"/>
          <w:kern w:val="0"/>
          <w:sz w:val="24"/>
          <w:lang w:val="en-US" w:eastAsia="zh-CN"/>
        </w:rPr>
        <w:t>（</w:t>
      </w:r>
      <w:r>
        <w:rPr>
          <w:rFonts w:hint="eastAsia" w:hAnsi="宋体" w:cs="宋体"/>
          <w:kern w:val="0"/>
          <w:sz w:val="24"/>
          <w:lang w:val="en-US" w:eastAsia="zh-CN"/>
        </w:rPr>
        <w:t>6</w:t>
      </w:r>
      <w:r>
        <w:rPr>
          <w:rFonts w:hint="eastAsia" w:cs="宋体"/>
          <w:kern w:val="0"/>
          <w:sz w:val="24"/>
          <w:lang w:val="en-US" w:eastAsia="zh-CN"/>
        </w:rPr>
        <w:t>）</w:t>
      </w:r>
      <w:r>
        <w:rPr>
          <w:rFonts w:hint="eastAsia" w:hAnsi="宋体" w:cs="宋体"/>
          <w:kern w:val="0"/>
          <w:sz w:val="24"/>
          <w:lang w:val="en-US" w:eastAsia="zh-CN"/>
        </w:rPr>
        <w:t>包含两拆、三拆两种结构，安装简单方便，且清洗更彻底。</w:t>
      </w:r>
    </w:p>
    <w:p>
      <w:pPr>
        <w:pStyle w:val="7"/>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hAnsi="宋体" w:cs="宋体"/>
          <w:kern w:val="0"/>
          <w:sz w:val="24"/>
          <w:lang w:val="en-US" w:eastAsia="zh-CN"/>
        </w:rPr>
      </w:pPr>
      <w:r>
        <w:rPr>
          <w:rFonts w:hint="eastAsia" w:cs="宋体"/>
          <w:kern w:val="0"/>
          <w:sz w:val="24"/>
          <w:lang w:val="en-US" w:eastAsia="zh-CN"/>
        </w:rPr>
        <w:t>（</w:t>
      </w:r>
      <w:r>
        <w:rPr>
          <w:rFonts w:hint="eastAsia" w:hAnsi="宋体" w:cs="宋体"/>
          <w:kern w:val="0"/>
          <w:sz w:val="24"/>
          <w:lang w:val="en-US" w:eastAsia="zh-CN"/>
        </w:rPr>
        <w:t>7</w:t>
      </w:r>
      <w:r>
        <w:rPr>
          <w:rFonts w:hint="eastAsia" w:cs="宋体"/>
          <w:kern w:val="0"/>
          <w:sz w:val="24"/>
          <w:lang w:val="en-US" w:eastAsia="zh-CN"/>
        </w:rPr>
        <w:t>）</w:t>
      </w:r>
      <w:r>
        <w:rPr>
          <w:rFonts w:hint="eastAsia" w:hAnsi="宋体" w:cs="宋体"/>
          <w:kern w:val="0"/>
          <w:sz w:val="24"/>
          <w:lang w:val="en-US" w:eastAsia="zh-CN"/>
        </w:rPr>
        <w:t>滑槽款剪刀裸露金属部位少，电凝止血安全高效。</w:t>
      </w:r>
    </w:p>
    <w:p>
      <w:pPr>
        <w:pStyle w:val="7"/>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default" w:hAnsi="宋体" w:cs="宋体"/>
          <w:kern w:val="0"/>
          <w:sz w:val="24"/>
          <w:lang w:val="en-US" w:eastAsia="zh-CN"/>
        </w:rPr>
      </w:pPr>
      <w:r>
        <w:rPr>
          <w:rFonts w:hint="eastAsia" w:cs="宋体"/>
          <w:b/>
          <w:bCs/>
          <w:kern w:val="0"/>
          <w:sz w:val="24"/>
          <w:lang w:val="en-US" w:eastAsia="zh-CN"/>
        </w:rPr>
        <w:t>5、</w:t>
      </w:r>
      <w:r>
        <w:rPr>
          <w:rFonts w:hint="eastAsia" w:hAnsi="宋体" w:cs="宋体"/>
          <w:b/>
          <w:bCs/>
          <w:kern w:val="0"/>
          <w:sz w:val="24"/>
          <w:lang w:val="en-US" w:eastAsia="zh-CN"/>
        </w:rPr>
        <w:t>鼠牙抓钳</w:t>
      </w:r>
    </w:p>
    <w:p>
      <w:pPr>
        <w:pStyle w:val="7"/>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hAnsi="宋体" w:cs="宋体"/>
          <w:kern w:val="0"/>
          <w:sz w:val="24"/>
          <w:lang w:val="en-US" w:eastAsia="zh-CN"/>
        </w:rPr>
      </w:pPr>
      <w:r>
        <w:rPr>
          <w:rFonts w:hint="eastAsia" w:cs="宋体"/>
          <w:kern w:val="0"/>
          <w:sz w:val="24"/>
          <w:lang w:val="en-US" w:eastAsia="zh-CN"/>
        </w:rPr>
        <w:t>（</w:t>
      </w:r>
      <w:r>
        <w:rPr>
          <w:rFonts w:hint="eastAsia" w:hAnsi="宋体" w:cs="宋体"/>
          <w:kern w:val="0"/>
          <w:sz w:val="24"/>
          <w:lang w:val="en-US" w:eastAsia="zh-CN"/>
        </w:rPr>
        <w:t>1</w:t>
      </w:r>
      <w:r>
        <w:rPr>
          <w:rFonts w:hint="eastAsia" w:cs="宋体"/>
          <w:kern w:val="0"/>
          <w:sz w:val="24"/>
          <w:lang w:val="en-US" w:eastAsia="zh-CN"/>
        </w:rPr>
        <w:t>）</w:t>
      </w:r>
      <w:r>
        <w:rPr>
          <w:rFonts w:hint="eastAsia" w:hAnsi="宋体" w:cs="宋体"/>
          <w:kern w:val="0"/>
          <w:sz w:val="24"/>
          <w:lang w:val="en-US" w:eastAsia="zh-CN"/>
        </w:rPr>
        <w:t>头部采用YY/T 0294.1-2016标准中的05Cr17Ni4Cu4Nb不锈钢，钳杆及内芯采用YY/T 0294.1-2016中M号钢，绝缘套管用PEEK制造。夹持力不小于20N。其硬度不小于350HV0.2，进入患者部分表面粗糙度Ra参数值的最大值为0.4μm。耐腐蚀性能不低于YY/T0149-2006中5.4b级的规定。</w:t>
      </w:r>
    </w:p>
    <w:p>
      <w:pPr>
        <w:pStyle w:val="7"/>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hAnsi="宋体" w:cs="宋体"/>
          <w:kern w:val="0"/>
          <w:sz w:val="24"/>
          <w:lang w:val="en-US" w:eastAsia="zh-CN"/>
        </w:rPr>
      </w:pPr>
      <w:r>
        <w:rPr>
          <w:rFonts w:hint="eastAsia" w:cs="宋体"/>
          <w:kern w:val="0"/>
          <w:sz w:val="24"/>
          <w:lang w:val="en-US" w:eastAsia="zh-CN"/>
        </w:rPr>
        <w:t>（</w:t>
      </w:r>
      <w:r>
        <w:rPr>
          <w:rFonts w:hint="eastAsia" w:hAnsi="宋体" w:cs="宋体"/>
          <w:kern w:val="0"/>
          <w:sz w:val="24"/>
          <w:lang w:val="en-US" w:eastAsia="zh-CN"/>
        </w:rPr>
        <w:t>2</w:t>
      </w:r>
      <w:r>
        <w:rPr>
          <w:rFonts w:hint="eastAsia" w:cs="宋体"/>
          <w:kern w:val="0"/>
          <w:sz w:val="24"/>
          <w:lang w:val="en-US" w:eastAsia="zh-CN"/>
        </w:rPr>
        <w:t>）</w:t>
      </w:r>
      <w:r>
        <w:rPr>
          <w:rFonts w:hint="eastAsia" w:hAnsi="宋体" w:cs="宋体"/>
          <w:kern w:val="0"/>
          <w:sz w:val="24"/>
          <w:lang w:val="en-US" w:eastAsia="zh-CN"/>
        </w:rPr>
        <w:t>胆道镜抓取钳，头部装有软保护套，夹持胆道镜时可以保护镜子不受损伤；滑槽结构的抓钳，达到高绝缘的效果；特制的肠钳，夹持肠管时钳头紧贴组织，不滑脱。</w:t>
      </w:r>
    </w:p>
    <w:p>
      <w:pPr>
        <w:pStyle w:val="7"/>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hAnsi="宋体" w:cs="宋体"/>
          <w:kern w:val="0"/>
          <w:sz w:val="24"/>
          <w:lang w:val="en-US" w:eastAsia="zh-CN"/>
        </w:rPr>
      </w:pPr>
      <w:r>
        <w:rPr>
          <w:rFonts w:hint="eastAsia" w:cs="宋体"/>
          <w:kern w:val="0"/>
          <w:sz w:val="24"/>
          <w:lang w:val="en-US" w:eastAsia="zh-CN"/>
        </w:rPr>
        <w:t>（</w:t>
      </w:r>
      <w:r>
        <w:rPr>
          <w:rFonts w:hint="eastAsia" w:hAnsi="宋体" w:cs="宋体"/>
          <w:kern w:val="0"/>
          <w:sz w:val="24"/>
          <w:lang w:val="en-US" w:eastAsia="zh-CN"/>
        </w:rPr>
        <w:t>3</w:t>
      </w:r>
      <w:r>
        <w:rPr>
          <w:rFonts w:hint="eastAsia" w:cs="宋体"/>
          <w:kern w:val="0"/>
          <w:sz w:val="24"/>
          <w:lang w:val="en-US" w:eastAsia="zh-CN"/>
        </w:rPr>
        <w:t>）</w:t>
      </w:r>
      <w:r>
        <w:rPr>
          <w:rFonts w:hint="eastAsia" w:hAnsi="宋体" w:cs="宋体"/>
          <w:kern w:val="0"/>
          <w:sz w:val="24"/>
          <w:lang w:val="en-US" w:eastAsia="zh-CN"/>
        </w:rPr>
        <w:t>钳头张开角度</w:t>
      </w:r>
      <w:r>
        <w:rPr>
          <w:rFonts w:hint="eastAsia" w:ascii="宋体" w:hAnsi="宋体" w:eastAsia="宋体" w:cs="宋体"/>
          <w:color w:val="000000"/>
          <w:kern w:val="0"/>
          <w:sz w:val="24"/>
          <w:szCs w:val="24"/>
          <w:lang w:val="en-US" w:eastAsia="zh-CN" w:bidi="ar-SA"/>
        </w:rPr>
        <w:t>≥</w:t>
      </w:r>
      <w:r>
        <w:rPr>
          <w:rFonts w:hint="eastAsia" w:hAnsi="宋体" w:cs="宋体"/>
          <w:kern w:val="0"/>
          <w:sz w:val="24"/>
          <w:lang w:val="en-US" w:eastAsia="zh-CN"/>
        </w:rPr>
        <w:t>50°。</w:t>
      </w:r>
    </w:p>
    <w:p>
      <w:pPr>
        <w:pStyle w:val="7"/>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hAnsi="宋体" w:cs="宋体"/>
          <w:kern w:val="0"/>
          <w:sz w:val="24"/>
          <w:lang w:val="en-US" w:eastAsia="zh-CN"/>
        </w:rPr>
      </w:pPr>
      <w:r>
        <w:rPr>
          <w:rFonts w:hint="eastAsia" w:cs="宋体"/>
          <w:kern w:val="0"/>
          <w:sz w:val="24"/>
          <w:lang w:val="en-US" w:eastAsia="zh-CN"/>
        </w:rPr>
        <w:t>（</w:t>
      </w:r>
      <w:r>
        <w:rPr>
          <w:rFonts w:hint="eastAsia" w:hAnsi="宋体" w:cs="宋体"/>
          <w:kern w:val="0"/>
          <w:sz w:val="24"/>
          <w:lang w:val="en-US" w:eastAsia="zh-CN"/>
        </w:rPr>
        <w:t>4</w:t>
      </w:r>
      <w:r>
        <w:rPr>
          <w:rFonts w:hint="eastAsia" w:cs="宋体"/>
          <w:kern w:val="0"/>
          <w:sz w:val="24"/>
          <w:lang w:val="en-US" w:eastAsia="zh-CN"/>
        </w:rPr>
        <w:t>）</w:t>
      </w:r>
      <w:r>
        <w:rPr>
          <w:rFonts w:hint="eastAsia" w:hAnsi="宋体" w:cs="宋体"/>
          <w:kern w:val="0"/>
          <w:sz w:val="24"/>
          <w:lang w:val="en-US" w:eastAsia="zh-CN"/>
        </w:rPr>
        <w:t>头部采用较高硬度的不锈钢材料，不易变形。</w:t>
      </w:r>
    </w:p>
    <w:p>
      <w:pPr>
        <w:pStyle w:val="7"/>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hAnsi="宋体" w:cs="宋体"/>
          <w:kern w:val="0"/>
          <w:sz w:val="24"/>
          <w:lang w:val="en-US" w:eastAsia="zh-CN"/>
        </w:rPr>
      </w:pPr>
      <w:r>
        <w:rPr>
          <w:rFonts w:hint="eastAsia" w:cs="宋体"/>
          <w:kern w:val="0"/>
          <w:sz w:val="24"/>
          <w:lang w:val="en-US" w:eastAsia="zh-CN"/>
        </w:rPr>
        <w:t>（</w:t>
      </w:r>
      <w:r>
        <w:rPr>
          <w:rFonts w:hint="eastAsia" w:hAnsi="宋体" w:cs="宋体"/>
          <w:kern w:val="0"/>
          <w:sz w:val="24"/>
          <w:lang w:val="en-US" w:eastAsia="zh-CN"/>
        </w:rPr>
        <w:t>5</w:t>
      </w:r>
      <w:r>
        <w:rPr>
          <w:rFonts w:hint="eastAsia" w:cs="宋体"/>
          <w:kern w:val="0"/>
          <w:sz w:val="24"/>
          <w:lang w:val="en-US" w:eastAsia="zh-CN"/>
        </w:rPr>
        <w:t>）</w:t>
      </w:r>
      <w:r>
        <w:rPr>
          <w:rFonts w:hint="eastAsia" w:hAnsi="宋体" w:cs="宋体"/>
          <w:kern w:val="0"/>
          <w:sz w:val="24"/>
          <w:lang w:val="en-US" w:eastAsia="zh-CN"/>
        </w:rPr>
        <w:t>可360°旋转，满足腔镜手术的各种角度需要。</w:t>
      </w:r>
    </w:p>
    <w:p>
      <w:pPr>
        <w:pStyle w:val="7"/>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default" w:hAnsi="宋体" w:cs="宋体"/>
          <w:kern w:val="0"/>
          <w:sz w:val="24"/>
          <w:lang w:val="en-US" w:eastAsia="zh-CN"/>
        </w:rPr>
      </w:pPr>
      <w:r>
        <w:rPr>
          <w:rFonts w:hint="eastAsia" w:cs="宋体"/>
          <w:kern w:val="0"/>
          <w:sz w:val="24"/>
          <w:lang w:val="en-US" w:eastAsia="zh-CN"/>
        </w:rPr>
        <w:t>（</w:t>
      </w:r>
      <w:r>
        <w:rPr>
          <w:rFonts w:hint="eastAsia" w:hAnsi="宋体" w:cs="宋体"/>
          <w:kern w:val="0"/>
          <w:sz w:val="24"/>
          <w:lang w:val="en-US" w:eastAsia="zh-CN"/>
        </w:rPr>
        <w:t>6</w:t>
      </w:r>
      <w:r>
        <w:rPr>
          <w:rFonts w:hint="eastAsia" w:cs="宋体"/>
          <w:kern w:val="0"/>
          <w:sz w:val="24"/>
          <w:lang w:val="en-US" w:eastAsia="zh-CN"/>
        </w:rPr>
        <w:t>）</w:t>
      </w:r>
      <w:r>
        <w:rPr>
          <w:rFonts w:hint="eastAsia" w:hAnsi="宋体" w:cs="宋体"/>
          <w:kern w:val="0"/>
          <w:sz w:val="24"/>
          <w:lang w:val="en-US" w:eastAsia="zh-CN"/>
        </w:rPr>
        <w:t>包含两拆、三拆两种结构，安装简单方便，且清洗更彻底。</w:t>
      </w:r>
    </w:p>
    <w:p>
      <w:pPr>
        <w:pStyle w:val="7"/>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color w:val="auto"/>
          <w:kern w:val="2"/>
          <w:sz w:val="24"/>
          <w:szCs w:val="24"/>
          <w:lang w:val="en-US" w:eastAsia="zh-CN" w:bidi="ar-SA"/>
        </w:rPr>
      </w:pPr>
      <w:r>
        <w:rPr>
          <w:rFonts w:hint="eastAsia"/>
          <w:b/>
          <w:bCs/>
          <w:color w:val="auto"/>
          <w:lang w:eastAsia="zh-CN"/>
        </w:rPr>
        <w:t>（二）服务要求</w:t>
      </w:r>
    </w:p>
    <w:p>
      <w:pPr>
        <w:pStyle w:val="7"/>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hAnsi="宋体" w:cs="宋体"/>
          <w:kern w:val="0"/>
          <w:sz w:val="24"/>
        </w:rPr>
      </w:pPr>
      <w:r>
        <w:rPr>
          <w:rFonts w:hint="eastAsia" w:hAnsi="宋体" w:cs="宋体"/>
          <w:kern w:val="0"/>
          <w:sz w:val="24"/>
        </w:rPr>
        <w:t>采购标的需满足产品三包服务</w:t>
      </w:r>
      <w:r>
        <w:rPr>
          <w:rFonts w:hint="eastAsia" w:cs="宋体"/>
          <w:kern w:val="0"/>
          <w:sz w:val="24"/>
          <w:lang w:eastAsia="zh-CN"/>
        </w:rPr>
        <w:t>，</w:t>
      </w:r>
      <w:r>
        <w:rPr>
          <w:rFonts w:hint="eastAsia" w:hAnsi="宋体" w:cs="宋体"/>
          <w:kern w:val="0"/>
          <w:sz w:val="24"/>
        </w:rPr>
        <w:t>质保期1年（含）以上</w:t>
      </w:r>
      <w:r>
        <w:rPr>
          <w:rFonts w:hint="eastAsia" w:cs="宋体"/>
          <w:kern w:val="0"/>
          <w:sz w:val="24"/>
          <w:lang w:eastAsia="zh-CN"/>
        </w:rPr>
        <w:t>，</w:t>
      </w:r>
      <w:bookmarkStart w:id="34" w:name="_GoBack"/>
      <w:bookmarkEnd w:id="34"/>
      <w:r>
        <w:rPr>
          <w:rFonts w:hint="eastAsia" w:hAnsi="宋体" w:cs="宋体"/>
          <w:kern w:val="0"/>
          <w:sz w:val="24"/>
        </w:rPr>
        <w:t>质保期内设备年正常运行时间不低于347天；有售后服务机构（维修点），售后服务响应时间4小时，24小时到达现场维修。质保期内出现因质量问题经过2次维修不能正常使用的，做退、换货处理。维修、换货时间不计入质保期。厂家负责设备操作培训，培训费用由供应商负责。</w:t>
      </w:r>
    </w:p>
    <w:p>
      <w:pPr>
        <w:pStyle w:val="7"/>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hAnsi="宋体" w:cs="宋体"/>
          <w:kern w:val="0"/>
          <w:sz w:val="24"/>
        </w:rPr>
      </w:pPr>
      <w:r>
        <w:rPr>
          <w:rFonts w:hint="eastAsia" w:hAnsi="宋体" w:cs="宋体"/>
          <w:kern w:val="0"/>
          <w:sz w:val="24"/>
        </w:rPr>
        <w:t>（三）政府采购合同内容条款要求：</w:t>
      </w:r>
    </w:p>
    <w:p>
      <w:pPr>
        <w:pStyle w:val="7"/>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hAnsi="宋体" w:cs="宋体"/>
          <w:kern w:val="0"/>
          <w:sz w:val="24"/>
        </w:rPr>
      </w:pPr>
      <w:r>
        <w:rPr>
          <w:rFonts w:hint="eastAsia" w:hAnsi="宋体" w:cs="宋体"/>
          <w:kern w:val="0"/>
          <w:sz w:val="24"/>
        </w:rPr>
        <w:t>1、完成时间：合同签订后</w:t>
      </w:r>
      <w:r>
        <w:rPr>
          <w:rFonts w:hint="eastAsia" w:cs="宋体"/>
          <w:kern w:val="0"/>
          <w:sz w:val="24"/>
          <w:lang w:val="en-US" w:eastAsia="zh-CN"/>
        </w:rPr>
        <w:t>10</w:t>
      </w:r>
      <w:r>
        <w:rPr>
          <w:rFonts w:hint="eastAsia" w:hAnsi="宋体" w:cs="宋体"/>
          <w:kern w:val="0"/>
          <w:sz w:val="24"/>
        </w:rPr>
        <w:t>个工作日内配送完毕。</w:t>
      </w:r>
    </w:p>
    <w:p>
      <w:pPr>
        <w:pStyle w:val="7"/>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hAnsi="宋体" w:cs="宋体"/>
          <w:kern w:val="0"/>
          <w:sz w:val="24"/>
        </w:rPr>
      </w:pPr>
      <w:r>
        <w:rPr>
          <w:rFonts w:hint="eastAsia" w:hAnsi="宋体" w:cs="宋体"/>
          <w:kern w:val="0"/>
          <w:sz w:val="24"/>
        </w:rPr>
        <w:t>2、完成地点：采购人指定地点。</w:t>
      </w:r>
    </w:p>
    <w:p>
      <w:pPr>
        <w:pStyle w:val="7"/>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hAnsi="宋体" w:cs="宋体"/>
          <w:kern w:val="0"/>
          <w:sz w:val="24"/>
        </w:rPr>
      </w:pPr>
      <w:r>
        <w:rPr>
          <w:rFonts w:hint="eastAsia" w:hAnsi="宋体" w:cs="宋体"/>
          <w:kern w:val="0"/>
          <w:sz w:val="24"/>
        </w:rPr>
        <w:t>3、验收标准：采购项目履约完成后，采购人应严格按照《财政部关于进一步加强政府采购需求和履约验收管理的指导意见》（财库〔2016〕205号）的要求进行验收，必须与投标文件应答的配置和技术参数一致。不得拒绝社会监督。</w:t>
      </w:r>
    </w:p>
    <w:p>
      <w:pPr>
        <w:pStyle w:val="7"/>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hAnsi="宋体" w:cs="宋体"/>
          <w:kern w:val="0"/>
          <w:sz w:val="24"/>
          <w:highlight w:val="none"/>
        </w:rPr>
      </w:pPr>
      <w:r>
        <w:rPr>
          <w:rFonts w:hint="eastAsia" w:hAnsi="宋体" w:cs="宋体"/>
          <w:kern w:val="0"/>
          <w:sz w:val="24"/>
        </w:rPr>
        <w:t>4、付款方式：</w:t>
      </w:r>
      <w:r>
        <w:rPr>
          <w:rFonts w:hint="eastAsia" w:hAnsi="宋体" w:cs="宋体"/>
          <w:kern w:val="0"/>
          <w:sz w:val="24"/>
          <w:highlight w:val="none"/>
        </w:rPr>
        <w:t>验收合格后</w:t>
      </w:r>
      <w:r>
        <w:rPr>
          <w:rFonts w:hint="eastAsia" w:cs="宋体"/>
          <w:kern w:val="0"/>
          <w:sz w:val="24"/>
          <w:highlight w:val="none"/>
          <w:lang w:val="en-US" w:eastAsia="zh-CN"/>
        </w:rPr>
        <w:t>30</w:t>
      </w:r>
      <w:r>
        <w:rPr>
          <w:rFonts w:hint="eastAsia" w:hAnsi="宋体" w:cs="宋体"/>
          <w:kern w:val="0"/>
          <w:sz w:val="24"/>
          <w:highlight w:val="none"/>
        </w:rPr>
        <w:t>日内付合同总价的</w:t>
      </w:r>
      <w:r>
        <w:rPr>
          <w:rFonts w:hint="eastAsia" w:cs="宋体"/>
          <w:kern w:val="0"/>
          <w:sz w:val="24"/>
          <w:highlight w:val="none"/>
          <w:lang w:val="en-US" w:eastAsia="zh-CN"/>
        </w:rPr>
        <w:t>9</w:t>
      </w:r>
      <w:r>
        <w:rPr>
          <w:rFonts w:hint="eastAsia" w:hAnsi="宋体" w:cs="宋体"/>
          <w:kern w:val="0"/>
          <w:sz w:val="24"/>
          <w:highlight w:val="none"/>
        </w:rPr>
        <w:t>0% ，</w:t>
      </w:r>
      <w:r>
        <w:rPr>
          <w:rFonts w:hint="eastAsia" w:cs="宋体"/>
          <w:kern w:val="0"/>
          <w:sz w:val="24"/>
          <w:highlight w:val="none"/>
          <w:lang w:val="en-US" w:eastAsia="zh-CN"/>
        </w:rPr>
        <w:t>半年后</w:t>
      </w:r>
      <w:r>
        <w:rPr>
          <w:rFonts w:hint="eastAsia" w:hAnsi="宋体" w:cs="宋体"/>
          <w:kern w:val="0"/>
          <w:sz w:val="24"/>
          <w:highlight w:val="none"/>
          <w:lang w:val="en-US" w:eastAsia="zh-CN"/>
        </w:rPr>
        <w:t>付10%</w:t>
      </w:r>
      <w:r>
        <w:rPr>
          <w:rFonts w:hint="eastAsia" w:hAnsi="宋体" w:cs="宋体"/>
          <w:kern w:val="0"/>
          <w:sz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hAnsi="宋体" w:cs="宋体"/>
          <w:b/>
          <w:bCs/>
          <w:kern w:val="0"/>
          <w:sz w:val="24"/>
        </w:rPr>
      </w:pPr>
      <w:r>
        <w:rPr>
          <w:rFonts w:hint="eastAsia" w:hAnsi="宋体" w:cs="宋体"/>
          <w:b/>
          <w:bCs/>
          <w:kern w:val="0"/>
          <w:sz w:val="24"/>
          <w:lang w:eastAsia="zh-CN"/>
        </w:rPr>
        <w:t>（四）</w:t>
      </w:r>
      <w:r>
        <w:rPr>
          <w:rFonts w:hint="eastAsia" w:hAnsi="宋体" w:cs="宋体"/>
          <w:b/>
          <w:bCs/>
          <w:kern w:val="0"/>
          <w:sz w:val="24"/>
        </w:rPr>
        <w:t>履约能力要求</w:t>
      </w:r>
    </w:p>
    <w:p>
      <w:pPr>
        <w:pStyle w:val="7"/>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hAnsi="宋体" w:cs="宋体"/>
          <w:kern w:val="0"/>
          <w:sz w:val="24"/>
        </w:rPr>
      </w:pPr>
      <w:r>
        <w:rPr>
          <w:rFonts w:hint="eastAsia" w:hAnsi="宋体" w:cs="宋体"/>
          <w:kern w:val="0"/>
          <w:sz w:val="24"/>
        </w:rPr>
        <w:t>成交供应商在签订合同时须指派负责本项目的专职人员1-2名，并提供授权文件和专职人员的身份证证明。</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hAnsi="宋体" w:cs="宋体"/>
          <w:b/>
          <w:bCs/>
          <w:kern w:val="0"/>
          <w:sz w:val="24"/>
        </w:rPr>
      </w:pPr>
      <w:r>
        <w:rPr>
          <w:rFonts w:hint="eastAsia" w:hAnsi="宋体" w:cs="宋体"/>
          <w:b/>
          <w:bCs/>
          <w:kern w:val="0"/>
          <w:sz w:val="24"/>
        </w:rPr>
        <w:t>（五）其他商务要求</w:t>
      </w:r>
    </w:p>
    <w:p>
      <w:pPr>
        <w:pStyle w:val="7"/>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hAnsi="宋体" w:cs="宋体"/>
          <w:kern w:val="0"/>
          <w:sz w:val="24"/>
        </w:rPr>
      </w:pPr>
      <w:r>
        <w:rPr>
          <w:rFonts w:hint="eastAsia" w:hAnsi="宋体" w:cs="宋体"/>
          <w:kern w:val="0"/>
          <w:sz w:val="24"/>
        </w:rPr>
        <w:t>1、供应商报价为到货含税价，并包括运输、装卸、安装、调试、人工、差旅等一切费用。</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50"/>
        <w:textAlignment w:val="auto"/>
        <w:rPr>
          <w:rFonts w:hint="eastAsia" w:ascii="黑体" w:hAnsi="宋体" w:eastAsia="黑体"/>
          <w:b/>
          <w:sz w:val="32"/>
          <w:szCs w:val="32"/>
        </w:rPr>
      </w:pPr>
      <w:r>
        <w:rPr>
          <w:rFonts w:hint="eastAsia" w:hAnsi="宋体" w:cs="宋体"/>
          <w:kern w:val="0"/>
          <w:sz w:val="24"/>
        </w:rPr>
        <w:t>2、产品应为</w:t>
      </w:r>
      <w:r>
        <w:rPr>
          <w:rFonts w:hint="eastAsia" w:ascii="Times New Roman" w:hAnsi="宋体" w:eastAsia="宋体" w:cs="宋体"/>
          <w:kern w:val="0"/>
          <w:sz w:val="24"/>
        </w:rPr>
        <w:t>202</w:t>
      </w:r>
      <w:r>
        <w:rPr>
          <w:rFonts w:hint="eastAsia" w:hAnsi="宋体" w:cs="宋体"/>
          <w:kern w:val="0"/>
          <w:sz w:val="24"/>
          <w:lang w:val="en-US" w:eastAsia="zh-CN"/>
        </w:rPr>
        <w:t>2</w:t>
      </w:r>
      <w:r>
        <w:rPr>
          <w:rFonts w:hint="eastAsia" w:ascii="Times New Roman" w:hAnsi="宋体" w:eastAsia="宋体" w:cs="宋体"/>
          <w:kern w:val="0"/>
          <w:sz w:val="24"/>
        </w:rPr>
        <w:t>年（含）</w:t>
      </w:r>
      <w:r>
        <w:rPr>
          <w:rFonts w:hint="eastAsia" w:hAnsi="宋体" w:cs="宋体"/>
          <w:kern w:val="0"/>
          <w:sz w:val="24"/>
        </w:rPr>
        <w:t>以后生产的产品。</w:t>
      </w:r>
    </w:p>
    <w:bookmarkEnd w:id="26"/>
    <w:bookmarkEnd w:id="27"/>
    <w:p>
      <w:pPr>
        <w:keepNext w:val="0"/>
        <w:keepLines w:val="0"/>
        <w:pageBreakBefore w:val="0"/>
        <w:widowControl w:val="0"/>
        <w:tabs>
          <w:tab w:val="left" w:pos="7665"/>
        </w:tabs>
        <w:kinsoku/>
        <w:wordWrap/>
        <w:overflowPunct/>
        <w:topLinePunct w:val="0"/>
        <w:autoSpaceDE/>
        <w:autoSpaceDN/>
        <w:bidi w:val="0"/>
        <w:adjustRightInd/>
        <w:snapToGrid/>
        <w:spacing w:line="420" w:lineRule="exact"/>
        <w:ind w:firstLine="482"/>
        <w:jc w:val="center"/>
        <w:textAlignment w:val="auto"/>
        <w:outlineLvl w:val="0"/>
        <w:rPr>
          <w:rFonts w:hint="eastAsia" w:ascii="黑体" w:hAnsi="宋体" w:eastAsia="黑体"/>
          <w:b/>
          <w:bCs/>
          <w:sz w:val="32"/>
          <w:szCs w:val="32"/>
        </w:rPr>
      </w:pPr>
      <w:bookmarkStart w:id="28" w:name="_Toc27680"/>
      <w:bookmarkStart w:id="29" w:name="_Toc3397"/>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pStyle w:val="2"/>
        <w:rPr>
          <w:rFonts w:hint="eastAsia" w:ascii="黑体" w:hAnsi="宋体" w:eastAsia="黑体"/>
          <w:b/>
          <w:bCs/>
          <w:sz w:val="32"/>
          <w:szCs w:val="32"/>
        </w:rPr>
      </w:pPr>
    </w:p>
    <w:p>
      <w:pPr>
        <w:pStyle w:val="3"/>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）正本1份，副本2份，报价表一式2份，用于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3"/>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widowControl/>
        <w:spacing w:line="360" w:lineRule="atLeast"/>
        <w:jc w:val="left"/>
        <w:outlineLvl w:val="1"/>
        <w:rPr>
          <w:rFonts w:hint="eastAsia" w:ascii="宋体" w:hAnsi="宋体"/>
        </w:rPr>
      </w:pPr>
      <w:bookmarkStart w:id="30" w:name="_Toc17324"/>
      <w:bookmarkStart w:id="31" w:name="_Toc22280"/>
    </w:p>
    <w:bookmarkEnd w:id="23"/>
    <w:bookmarkEnd w:id="24"/>
    <w:bookmarkEnd w:id="25"/>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pStyle w:val="2"/>
        <w:keepNext w:val="0"/>
        <w:keepLines w:val="0"/>
        <w:pageBreakBefore w:val="0"/>
        <w:widowControl w:val="0"/>
        <w:kinsoku/>
        <w:wordWrap/>
        <w:overflowPunct/>
        <w:topLinePunct w:val="0"/>
        <w:autoSpaceDE/>
        <w:autoSpaceDN/>
        <w:bidi w:val="0"/>
        <w:spacing w:line="390" w:lineRule="exact"/>
        <w:ind w:firstLine="562" w:firstLineChars="200"/>
        <w:textAlignment w:val="auto"/>
        <w:rPr>
          <w:rFonts w:hint="eastAsia" w:eastAsia="宋体"/>
          <w:b/>
          <w:bCs w:val="0"/>
          <w:color w:val="FF0000"/>
          <w:sz w:val="22"/>
          <w:szCs w:val="24"/>
          <w:lang w:eastAsia="zh-CN"/>
        </w:rPr>
      </w:pPr>
      <w:r>
        <w:rPr>
          <w:rFonts w:hint="eastAsia" w:ascii="宋体" w:hAnsi="宋体"/>
          <w:b/>
          <w:bCs w:val="0"/>
          <w:color w:val="FF0000"/>
          <w:sz w:val="28"/>
          <w:szCs w:val="24"/>
          <w:lang w:eastAsia="zh-CN"/>
        </w:rPr>
        <w:t>评标方法：合格样品中的最低价中标</w:t>
      </w:r>
    </w:p>
    <w:p>
      <w:pPr>
        <w:keepNext w:val="0"/>
        <w:keepLines w:val="0"/>
        <w:pageBreakBefore w:val="0"/>
        <w:widowControl w:val="0"/>
        <w:kinsoku/>
        <w:wordWrap/>
        <w:overflowPunct/>
        <w:topLinePunct w:val="0"/>
        <w:autoSpaceDE/>
        <w:autoSpaceDN/>
        <w:bidi w:val="0"/>
        <w:adjustRightInd w:val="0"/>
        <w:snapToGrid w:val="0"/>
        <w:spacing w:line="390" w:lineRule="exact"/>
        <w:ind w:firstLine="482" w:firstLineChars="200"/>
        <w:textAlignment w:val="auto"/>
        <w:rPr>
          <w:rFonts w:hint="eastAsia" w:ascii="宋体" w:hAnsi="宋体"/>
          <w:b/>
          <w:bCs/>
          <w:color w:val="auto"/>
          <w:sz w:val="24"/>
        </w:rPr>
      </w:pPr>
      <w:r>
        <w:rPr>
          <w:rFonts w:hint="eastAsia" w:ascii="宋体" w:hAnsi="宋体"/>
          <w:b/>
          <w:bCs/>
          <w:color w:val="auto"/>
          <w:sz w:val="24"/>
        </w:rPr>
        <w:t>1.询价程序</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color w:val="auto"/>
          <w:sz w:val="24"/>
        </w:rPr>
      </w:pPr>
      <w:r>
        <w:rPr>
          <w:rFonts w:hint="eastAsia" w:ascii="宋体" w:hAnsi="宋体"/>
          <w:bCs/>
          <w:color w:val="auto"/>
          <w:sz w:val="24"/>
        </w:rPr>
        <w:t>1.1供应商签到并递交</w:t>
      </w:r>
      <w:r>
        <w:rPr>
          <w:rFonts w:hint="eastAsia" w:ascii="宋体" w:hAnsi="宋体"/>
          <w:bCs/>
          <w:color w:val="auto"/>
          <w:sz w:val="24"/>
          <w:lang w:eastAsia="zh-CN"/>
        </w:rPr>
        <w:t>投标文件</w:t>
      </w:r>
      <w:r>
        <w:rPr>
          <w:rFonts w:hint="eastAsia" w:ascii="宋体" w:hAnsi="宋体"/>
          <w:bCs/>
          <w:color w:val="auto"/>
          <w:sz w:val="24"/>
        </w:rPr>
        <w:t>。</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color w:val="auto"/>
          <w:sz w:val="24"/>
        </w:rPr>
      </w:pPr>
      <w:r>
        <w:rPr>
          <w:rFonts w:hint="eastAsia" w:ascii="宋体" w:hAnsi="宋体"/>
          <w:bCs/>
          <w:color w:val="auto"/>
          <w:sz w:val="24"/>
        </w:rPr>
        <w:t>1.2</w:t>
      </w:r>
      <w:r>
        <w:rPr>
          <w:rFonts w:hint="eastAsia" w:ascii="宋体" w:hAnsi="宋体" w:eastAsia="宋体" w:cs="Times New Roman"/>
          <w:bCs/>
          <w:color w:val="auto"/>
          <w:sz w:val="24"/>
          <w:lang w:val="en-US" w:eastAsia="zh-CN"/>
        </w:rPr>
        <w:t>由样品审核</w:t>
      </w:r>
      <w:r>
        <w:rPr>
          <w:rFonts w:hint="eastAsia" w:ascii="宋体" w:hAnsi="宋体" w:cs="Times New Roman"/>
          <w:bCs/>
          <w:color w:val="auto"/>
          <w:sz w:val="24"/>
          <w:lang w:val="en-US" w:eastAsia="zh-CN"/>
        </w:rPr>
        <w:t>小</w:t>
      </w:r>
      <w:r>
        <w:rPr>
          <w:rFonts w:hint="eastAsia" w:ascii="宋体" w:hAnsi="宋体" w:eastAsia="宋体" w:cs="Times New Roman"/>
          <w:bCs/>
          <w:color w:val="auto"/>
          <w:sz w:val="24"/>
          <w:lang w:val="en-US" w:eastAsia="zh-CN"/>
        </w:rPr>
        <w:t>组对分别对投标人携带的样品进行审查，筛选出符合我院使用要求和标准的样品，进入下一轮比价环节。不符合我院使用要求和标准的直接淘汰。</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color w:val="auto"/>
          <w:sz w:val="24"/>
        </w:rPr>
      </w:pPr>
      <w:r>
        <w:rPr>
          <w:rFonts w:hint="eastAsia" w:ascii="宋体" w:hAnsi="宋体"/>
          <w:bCs/>
          <w:color w:val="auto"/>
          <w:sz w:val="24"/>
        </w:rPr>
        <w:t>1.3资格审查。</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eastAsia="宋体" w:cs="Times New Roman"/>
          <w:bCs/>
          <w:color w:val="auto"/>
          <w:sz w:val="24"/>
          <w:lang w:eastAsia="zh-CN"/>
        </w:rPr>
      </w:pPr>
      <w:r>
        <w:rPr>
          <w:rFonts w:hint="eastAsia" w:ascii="宋体" w:hAnsi="宋体"/>
          <w:bCs/>
          <w:color w:val="auto"/>
          <w:sz w:val="24"/>
        </w:rPr>
        <w:t>1.4出具资格审查报告，当场宣布资格审查结果，并告知未通过资格审查的供应商未通过资格审查的原因，但涉及商业秘密的除外。</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eastAsia="宋体" w:cs="Times New Roman"/>
          <w:bCs/>
          <w:color w:val="auto"/>
          <w:sz w:val="24"/>
          <w:lang w:val="en-US" w:eastAsia="zh-CN"/>
        </w:rPr>
      </w:pPr>
      <w:r>
        <w:rPr>
          <w:rFonts w:hint="eastAsia" w:ascii="宋体" w:hAnsi="宋体" w:eastAsia="宋体" w:cs="Times New Roman"/>
          <w:bCs/>
          <w:color w:val="auto"/>
          <w:sz w:val="24"/>
        </w:rPr>
        <w:t>1.</w:t>
      </w:r>
      <w:r>
        <w:rPr>
          <w:rFonts w:hint="eastAsia" w:ascii="宋体" w:hAnsi="宋体" w:eastAsia="宋体" w:cs="Times New Roman"/>
          <w:bCs/>
          <w:color w:val="auto"/>
          <w:sz w:val="24"/>
          <w:lang w:val="en-US" w:eastAsia="zh-CN"/>
        </w:rPr>
        <w:t>5</w:t>
      </w:r>
      <w:r>
        <w:rPr>
          <w:rFonts w:hint="eastAsia" w:ascii="宋体" w:hAnsi="宋体"/>
          <w:bCs/>
          <w:color w:val="auto"/>
          <w:sz w:val="24"/>
        </w:rPr>
        <w:t>询价小组</w:t>
      </w:r>
      <w:r>
        <w:rPr>
          <w:rFonts w:hint="eastAsia" w:ascii="宋体" w:hAnsi="宋体"/>
          <w:bCs/>
          <w:color w:val="auto"/>
          <w:sz w:val="24"/>
          <w:lang w:eastAsia="zh-CN"/>
        </w:rPr>
        <w:t>对通过资格审查的供应商进行符合性审查。向未通过符合性审</w:t>
      </w:r>
      <w:r>
        <w:rPr>
          <w:rFonts w:hint="eastAsia" w:ascii="宋体" w:hAnsi="宋体" w:eastAsia="宋体" w:cs="Times New Roman"/>
          <w:bCs/>
          <w:color w:val="auto"/>
          <w:sz w:val="24"/>
          <w:lang w:eastAsia="zh-CN"/>
        </w:rPr>
        <w:t>查的供应商说明原因。</w:t>
      </w:r>
    </w:p>
    <w:p>
      <w:pPr>
        <w:pStyle w:val="2"/>
        <w:keepNext w:val="0"/>
        <w:keepLines w:val="0"/>
        <w:pageBreakBefore w:val="0"/>
        <w:widowControl w:val="0"/>
        <w:kinsoku/>
        <w:wordWrap/>
        <w:overflowPunct/>
        <w:topLinePunct w:val="0"/>
        <w:autoSpaceDE/>
        <w:autoSpaceDN/>
        <w:bidi w:val="0"/>
        <w:spacing w:line="390" w:lineRule="exact"/>
        <w:textAlignment w:val="auto"/>
        <w:rPr>
          <w:rFonts w:hint="default"/>
          <w:color w:val="auto"/>
          <w:lang w:val="en-US" w:eastAsia="zh-CN"/>
        </w:rPr>
      </w:pPr>
      <w:r>
        <w:rPr>
          <w:rFonts w:hint="eastAsia" w:ascii="宋体" w:hAnsi="宋体" w:eastAsia="宋体" w:cs="Times New Roman"/>
          <w:bCs/>
          <w:color w:val="auto"/>
          <w:sz w:val="24"/>
          <w:lang w:val="en-US" w:eastAsia="zh-CN"/>
        </w:rPr>
        <w:t xml:space="preserve">    1.6本项目实行一次性报价</w:t>
      </w:r>
      <w:r>
        <w:rPr>
          <w:rFonts w:hint="eastAsia" w:ascii="宋体" w:hAnsi="宋体" w:eastAsia="宋体" w:cs="Times New Roman"/>
          <w:b w:val="0"/>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eastAsia="宋体" w:cs="Times New Roman"/>
          <w:bCs/>
          <w:color w:val="auto"/>
          <w:sz w:val="24"/>
        </w:rPr>
      </w:pPr>
      <w:r>
        <w:rPr>
          <w:rFonts w:hint="eastAsia" w:ascii="宋体" w:hAnsi="宋体" w:eastAsia="宋体" w:cs="Times New Roman"/>
          <w:bCs/>
          <w:color w:val="auto"/>
          <w:sz w:val="24"/>
        </w:rPr>
        <w:t>1.</w:t>
      </w:r>
      <w:r>
        <w:rPr>
          <w:rFonts w:hint="eastAsia" w:ascii="宋体" w:hAnsi="宋体" w:eastAsia="宋体" w:cs="Times New Roman"/>
          <w:bCs/>
          <w:color w:val="auto"/>
          <w:sz w:val="24"/>
          <w:lang w:val="en-US" w:eastAsia="zh-CN"/>
        </w:rPr>
        <w:t>7</w:t>
      </w:r>
      <w:r>
        <w:rPr>
          <w:rFonts w:hint="eastAsia" w:ascii="宋体" w:hAnsi="宋体" w:eastAsia="宋体" w:cs="Times New Roman"/>
          <w:bCs/>
          <w:color w:val="auto"/>
          <w:sz w:val="24"/>
        </w:rPr>
        <w:t>询价小组从质量和服务均能满足采购文件实质性要求的供应商中，按照供应商的</w:t>
      </w:r>
      <w:r>
        <w:rPr>
          <w:rFonts w:hint="eastAsia" w:ascii="宋体" w:hAnsi="宋体" w:eastAsia="宋体" w:cs="Times New Roman"/>
          <w:bCs/>
          <w:color w:val="auto"/>
          <w:sz w:val="24"/>
          <w:lang w:eastAsia="zh-CN"/>
        </w:rPr>
        <w:t>最终报</w:t>
      </w:r>
      <w:r>
        <w:rPr>
          <w:rFonts w:hint="eastAsia" w:ascii="宋体" w:hAnsi="宋体" w:eastAsia="宋体" w:cs="Times New Roman"/>
          <w:bCs/>
          <w:color w:val="auto"/>
          <w:sz w:val="24"/>
        </w:rPr>
        <w:t>价由低到高排序。供应商</w:t>
      </w:r>
      <w:r>
        <w:rPr>
          <w:rFonts w:hint="eastAsia" w:ascii="宋体" w:hAnsi="宋体" w:eastAsia="宋体" w:cs="Times New Roman"/>
          <w:bCs/>
          <w:color w:val="auto"/>
          <w:sz w:val="24"/>
          <w:lang w:eastAsia="zh-CN"/>
        </w:rPr>
        <w:t>最终报</w:t>
      </w:r>
      <w:r>
        <w:rPr>
          <w:rFonts w:hint="eastAsia" w:ascii="宋体" w:hAnsi="宋体" w:eastAsia="宋体" w:cs="Times New Roman"/>
          <w:bCs/>
          <w:color w:val="auto"/>
          <w:sz w:val="24"/>
        </w:rPr>
        <w:t>价相同的，由询价小组组织供应商</w:t>
      </w:r>
      <w:r>
        <w:rPr>
          <w:rFonts w:hint="eastAsia" w:ascii="宋体" w:hAnsi="宋体" w:eastAsia="宋体" w:cs="Times New Roman"/>
          <w:bCs/>
          <w:color w:val="auto"/>
          <w:sz w:val="24"/>
          <w:lang w:eastAsia="zh-CN"/>
        </w:rPr>
        <w:t>现场再次报价</w:t>
      </w:r>
      <w:r>
        <w:rPr>
          <w:rFonts w:hint="eastAsia" w:ascii="宋体" w:hAnsi="宋体" w:eastAsia="宋体" w:cs="Times New Roman"/>
          <w:bCs/>
          <w:color w:val="auto"/>
          <w:sz w:val="24"/>
        </w:rPr>
        <w:t>。</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color w:val="auto"/>
          <w:sz w:val="24"/>
        </w:rPr>
      </w:pPr>
      <w:r>
        <w:rPr>
          <w:rFonts w:hint="eastAsia" w:ascii="宋体" w:hAnsi="宋体"/>
          <w:bCs/>
          <w:color w:val="auto"/>
          <w:sz w:val="24"/>
        </w:rPr>
        <w:t>1.</w:t>
      </w:r>
      <w:r>
        <w:rPr>
          <w:rFonts w:hint="eastAsia" w:ascii="宋体" w:hAnsi="宋体"/>
          <w:bCs/>
          <w:color w:val="auto"/>
          <w:sz w:val="24"/>
          <w:lang w:val="en-US" w:eastAsia="zh-CN"/>
        </w:rPr>
        <w:t>8</w:t>
      </w:r>
      <w:r>
        <w:rPr>
          <w:rFonts w:hint="eastAsia" w:ascii="宋体" w:hAnsi="宋体"/>
          <w:bCs/>
          <w:color w:val="auto"/>
          <w:sz w:val="24"/>
          <w:lang w:eastAsia="zh-CN"/>
        </w:rPr>
        <w:t>询价小组</w:t>
      </w:r>
      <w:r>
        <w:rPr>
          <w:rFonts w:hint="eastAsia" w:ascii="宋体" w:hAnsi="宋体"/>
          <w:bCs/>
          <w:color w:val="auto"/>
          <w:sz w:val="24"/>
        </w:rPr>
        <w:t>根据质量和服务均能满足采购文件实质性要求且评审价最低的原则确定成交供应商。</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color w:val="auto"/>
          <w:sz w:val="24"/>
        </w:rPr>
      </w:pPr>
      <w:r>
        <w:rPr>
          <w:rFonts w:hint="eastAsia" w:ascii="宋体" w:hAnsi="宋体"/>
          <w:bCs/>
          <w:color w:val="auto"/>
          <w:sz w:val="24"/>
        </w:rPr>
        <w:t>1.</w:t>
      </w:r>
      <w:r>
        <w:rPr>
          <w:rFonts w:hint="eastAsia" w:ascii="宋体" w:hAnsi="宋体"/>
          <w:bCs/>
          <w:color w:val="auto"/>
          <w:sz w:val="24"/>
          <w:lang w:val="en-US" w:eastAsia="zh-CN"/>
        </w:rPr>
        <w:t>9</w:t>
      </w:r>
      <w:r>
        <w:rPr>
          <w:rFonts w:hint="eastAsia" w:ascii="宋体" w:hAnsi="宋体"/>
          <w:bCs/>
          <w:color w:val="auto"/>
          <w:sz w:val="24"/>
        </w:rPr>
        <w:t>发布成交结果公告，同时发出成交通知书。</w:t>
      </w:r>
    </w:p>
    <w:p>
      <w:pPr>
        <w:keepNext w:val="0"/>
        <w:keepLines w:val="0"/>
        <w:pageBreakBefore w:val="0"/>
        <w:widowControl w:val="0"/>
        <w:kinsoku/>
        <w:wordWrap/>
        <w:overflowPunct/>
        <w:topLinePunct w:val="0"/>
        <w:autoSpaceDE/>
        <w:autoSpaceDN/>
        <w:bidi w:val="0"/>
        <w:adjustRightInd w:val="0"/>
        <w:snapToGrid w:val="0"/>
        <w:spacing w:line="390" w:lineRule="exact"/>
        <w:ind w:firstLine="482" w:firstLineChars="200"/>
        <w:textAlignment w:val="auto"/>
        <w:rPr>
          <w:rFonts w:hint="eastAsia" w:ascii="宋体" w:hAnsi="宋体"/>
          <w:b/>
          <w:bCs/>
          <w:color w:val="auto"/>
          <w:sz w:val="24"/>
        </w:rPr>
      </w:pPr>
      <w:r>
        <w:rPr>
          <w:rFonts w:hint="eastAsia" w:ascii="宋体" w:hAnsi="宋体"/>
          <w:b/>
          <w:bCs/>
          <w:color w:val="auto"/>
          <w:sz w:val="24"/>
        </w:rPr>
        <w:t>2.评审程序、评审方法、评审标准</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color w:val="auto"/>
          <w:sz w:val="24"/>
          <w:szCs w:val="24"/>
        </w:rPr>
      </w:pPr>
      <w:r>
        <w:rPr>
          <w:rFonts w:hint="eastAsia" w:ascii="宋体" w:hAnsi="宋体"/>
          <w:b w:val="0"/>
          <w:bCs w:val="0"/>
          <w:color w:val="auto"/>
          <w:sz w:val="24"/>
        </w:rPr>
        <w:t>2.1</w:t>
      </w:r>
      <w:r>
        <w:rPr>
          <w:rFonts w:hint="eastAsia" w:ascii="宋体" w:hAnsi="宋体" w:eastAsia="宋体"/>
          <w:b w:val="0"/>
          <w:color w:val="auto"/>
          <w:sz w:val="24"/>
          <w:szCs w:val="24"/>
        </w:rPr>
        <w:t>熟悉和理解询价通知书和停止评审。</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color w:val="auto"/>
          <w:sz w:val="24"/>
          <w:szCs w:val="24"/>
        </w:rPr>
      </w:pPr>
      <w:r>
        <w:rPr>
          <w:rFonts w:hint="eastAsia" w:ascii="宋体" w:hAnsi="宋体" w:eastAsia="宋体"/>
          <w:b w:val="0"/>
          <w:color w:val="auto"/>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color w:val="auto"/>
          <w:sz w:val="24"/>
          <w:szCs w:val="24"/>
        </w:rPr>
      </w:pPr>
      <w:r>
        <w:rPr>
          <w:rFonts w:hint="eastAsia" w:ascii="宋体" w:hAnsi="宋体" w:eastAsia="宋体"/>
          <w:b w:val="0"/>
          <w:color w:val="auto"/>
          <w:sz w:val="24"/>
          <w:szCs w:val="24"/>
        </w:rPr>
        <w:t>2.1.2 本询价通知书有下列情形之一的，询价小组应当停止评审：</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color w:val="auto"/>
          <w:sz w:val="24"/>
          <w:szCs w:val="24"/>
        </w:rPr>
      </w:pPr>
      <w:r>
        <w:rPr>
          <w:rFonts w:hint="eastAsia" w:ascii="宋体" w:hAnsi="宋体" w:eastAsia="宋体"/>
          <w:b w:val="0"/>
          <w:color w:val="auto"/>
          <w:sz w:val="24"/>
          <w:szCs w:val="24"/>
        </w:rPr>
        <w:t>（1）询价通知书的规定存在歧义、重大缺陷的；</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color w:val="auto"/>
          <w:sz w:val="24"/>
          <w:szCs w:val="24"/>
        </w:rPr>
      </w:pPr>
      <w:r>
        <w:rPr>
          <w:rFonts w:hint="eastAsia" w:ascii="宋体" w:hAnsi="宋体" w:eastAsia="宋体"/>
          <w:b w:val="0"/>
          <w:color w:val="auto"/>
          <w:sz w:val="24"/>
          <w:szCs w:val="24"/>
        </w:rPr>
        <w:t>（2）询价通知书明显以不合理条件对供应商实行差别待遇或者歧视待遇的；</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color w:val="auto"/>
          <w:sz w:val="24"/>
          <w:szCs w:val="24"/>
        </w:rPr>
      </w:pPr>
      <w:r>
        <w:rPr>
          <w:rFonts w:hint="eastAsia" w:ascii="宋体" w:hAnsi="宋体" w:eastAsia="宋体"/>
          <w:b w:val="0"/>
          <w:color w:val="auto"/>
          <w:sz w:val="24"/>
          <w:szCs w:val="24"/>
        </w:rPr>
        <w:t>（3）采购项目属于国家规定的优先、强制采购范围，但是询价通知书未依法体现优先、强制采购相关规定的；</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color w:val="auto"/>
          <w:sz w:val="24"/>
          <w:szCs w:val="24"/>
        </w:rPr>
      </w:pPr>
      <w:r>
        <w:rPr>
          <w:rFonts w:hint="eastAsia" w:ascii="宋体" w:hAnsi="宋体" w:eastAsia="宋体"/>
          <w:b w:val="0"/>
          <w:color w:val="auto"/>
          <w:sz w:val="24"/>
          <w:szCs w:val="24"/>
        </w:rPr>
        <w:t>（4）采购项目属于政府采购促进中小企业发展的范围，但是询价通知书未依法体现促进中小企业发展相关规定的；</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2.2资格审查。</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b w:val="0"/>
          <w:sz w:val="24"/>
        </w:rPr>
      </w:pPr>
      <w:r>
        <w:rPr>
          <w:rFonts w:hint="eastAsia" w:ascii="宋体" w:hAnsi="宋体" w:eastAsia="宋体"/>
          <w:b w:val="0"/>
          <w:sz w:val="24"/>
          <w:szCs w:val="24"/>
        </w:rPr>
        <w:t>2.2.1本项目需要询价小组进行资格性检查。</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2.3询价。</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2.4一次性报价。</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2.4.1所有实质性响应的供应商在规定时间内一次提交不得更改的价格。</w:t>
      </w:r>
    </w:p>
    <w:p>
      <w:pPr>
        <w:keepNext w:val="0"/>
        <w:keepLines w:val="0"/>
        <w:pageBreakBefore w:val="0"/>
        <w:widowControl w:val="0"/>
        <w:kinsoku/>
        <w:wordWrap/>
        <w:overflowPunct/>
        <w:topLinePunct w:val="0"/>
        <w:autoSpaceDE/>
        <w:autoSpaceDN/>
        <w:bidi w:val="0"/>
        <w:spacing w:line="390" w:lineRule="exact"/>
        <w:ind w:firstLine="480" w:firstLineChars="200"/>
        <w:textAlignment w:val="auto"/>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2.5复核。</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2.6推荐成交候选供应商。</w:t>
      </w:r>
    </w:p>
    <w:p>
      <w:pPr>
        <w:keepNext w:val="0"/>
        <w:keepLines w:val="0"/>
        <w:pageBreakBefore w:val="0"/>
        <w:widowControl w:val="0"/>
        <w:kinsoku/>
        <w:wordWrap/>
        <w:overflowPunct/>
        <w:topLinePunct w:val="0"/>
        <w:autoSpaceDE/>
        <w:autoSpaceDN/>
        <w:bidi w:val="0"/>
        <w:spacing w:line="390" w:lineRule="exact"/>
        <w:ind w:firstLine="480" w:firstLineChars="200"/>
        <w:textAlignment w:val="auto"/>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w:t>
      </w:r>
      <w:r>
        <w:rPr>
          <w:rFonts w:hint="eastAsia" w:ascii="宋体" w:hAnsi="宋体" w:cs="宋体"/>
          <w:bCs/>
          <w:sz w:val="24"/>
          <w:lang w:val="en-US" w:eastAsia="zh-CN"/>
        </w:rPr>
        <w:t>3</w:t>
      </w:r>
      <w:r>
        <w:rPr>
          <w:rFonts w:hint="eastAsia" w:ascii="宋体" w:hAnsi="宋体" w:cs="宋体"/>
          <w:bCs/>
          <w:sz w:val="24"/>
        </w:rPr>
        <w:t>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jc w:val="left"/>
        <w:textAlignment w:val="auto"/>
        <w:rPr>
          <w:rFonts w:hint="eastAsia" w:ascii="宋体" w:hAnsi="宋体" w:cs="宋体"/>
          <w:bCs/>
          <w:sz w:val="24"/>
        </w:rPr>
      </w:pPr>
      <w:r>
        <w:rPr>
          <w:rFonts w:hint="eastAsia" w:ascii="宋体" w:hAnsi="宋体" w:cs="宋体"/>
          <w:bCs/>
          <w:sz w:val="24"/>
        </w:rPr>
        <w:t>供应商书面说明应当签字确认或者加盖公章，否则无效。</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jc w:val="left"/>
        <w:textAlignment w:val="auto"/>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（一）因情况变化，不再符合规定的询价采购方式适用情形的；</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（二）出现影响采购公正的违法、违规行为的；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90" w:lineRule="exact"/>
        <w:ind w:left="120" w:leftChars="57" w:firstLine="360" w:firstLineChars="150"/>
        <w:textAlignment w:val="auto"/>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keepNext w:val="0"/>
        <w:keepLines w:val="0"/>
        <w:pageBreakBefore w:val="0"/>
        <w:widowControl w:val="0"/>
        <w:kinsoku/>
        <w:wordWrap/>
        <w:overflowPunct/>
        <w:topLinePunct w:val="0"/>
        <w:autoSpaceDE/>
        <w:autoSpaceDN/>
        <w:bidi w:val="0"/>
        <w:adjustRightInd w:val="0"/>
        <w:snapToGrid w:val="0"/>
        <w:spacing w:line="390" w:lineRule="exact"/>
        <w:ind w:firstLine="482" w:firstLineChars="200"/>
        <w:textAlignment w:val="auto"/>
        <w:rPr>
          <w:rFonts w:hint="eastAsia" w:ascii="宋体" w:hAnsi="宋体"/>
          <w:b/>
          <w:bCs/>
          <w:sz w:val="24"/>
        </w:rPr>
      </w:pPr>
      <w:r>
        <w:rPr>
          <w:rFonts w:hint="eastAsia" w:ascii="宋体" w:hAnsi="宋体"/>
          <w:b/>
          <w:bCs/>
          <w:sz w:val="24"/>
        </w:rPr>
        <w:t>3.评审纪律</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3.4询价小组成员应当遵守下列工作纪律：</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（二）评审前，应当将通讯工具或者相关电子设备交由采购组织单位统一保管。</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4"/>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4"/>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4"/>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4"/>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4"/>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4"/>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4"/>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4"/>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4"/>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4"/>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4"/>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4"/>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4"/>
        <w:ind w:firstLine="480"/>
        <w:rPr>
          <w:rFonts w:hint="eastAsia" w:ascii="宋体" w:hAnsi="宋体"/>
          <w:color w:val="000000"/>
        </w:rPr>
      </w:pPr>
      <w:r>
        <w:rPr>
          <w:rFonts w:hint="eastAsia" w:ascii="宋体" w:hAnsi="宋体"/>
          <w:color w:val="000000"/>
        </w:rPr>
        <w:t>(4)如质量验收合格，双方签署质量验收报告。</w:t>
      </w:r>
    </w:p>
    <w:p>
      <w:pPr>
        <w:pStyle w:val="24"/>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4"/>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4"/>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4"/>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4"/>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4"/>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4"/>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4"/>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4"/>
        <w:ind w:firstLine="482"/>
        <w:rPr>
          <w:rFonts w:hint="eastAsia" w:ascii="黑体"/>
          <w:b/>
        </w:rPr>
      </w:pPr>
      <w:r>
        <w:rPr>
          <w:rFonts w:hint="eastAsia" w:ascii="黑体"/>
          <w:b/>
        </w:rPr>
        <w:t>六、售后服务</w:t>
      </w:r>
    </w:p>
    <w:p>
      <w:pPr>
        <w:pStyle w:val="24"/>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4"/>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4"/>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4"/>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4"/>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4"/>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4"/>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4"/>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4"/>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4"/>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4"/>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4"/>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4"/>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4"/>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4"/>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4"/>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4"/>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5"/>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8"/>
        <w:rFonts w:ascii="宋体" w:hAnsi="宋体" w:eastAsia="宋体" w:cs="Times New Roman"/>
        <w:sz w:val="28"/>
        <w:szCs w:val="28"/>
      </w:rPr>
    </w:pPr>
    <w:r>
      <w:rPr>
        <w:rFonts w:ascii="宋体" w:hAnsi="宋体" w:eastAsia="宋体" w:cs="Times New Roman"/>
        <w:sz w:val="28"/>
        <w:szCs w:val="28"/>
      </w:rPr>
      <w:fldChar w:fldCharType="begin"/>
    </w:r>
    <w:r>
      <w:rPr>
        <w:rStyle w:val="18"/>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8"/>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8"/>
        <w:rFonts w:hint="eastAsia" w:ascii="Times New Roman" w:hAnsi="Times New Roman" w:eastAsia="宋体" w:cs="Times New Roman"/>
      </w:rPr>
    </w:pPr>
  </w:p>
  <w:p>
    <w:pPr>
      <w:pStyle w:val="10"/>
      <w:framePr w:wrap="around" w:vAnchor="text" w:hAnchor="margin" w:xAlign="outside" w:y="1"/>
      <w:rPr>
        <w:rStyle w:val="18"/>
        <w:rFonts w:hint="eastAsia" w:ascii="Times New Roman" w:hAnsi="Times New Roman" w:eastAsia="宋体" w:cs="Times New Roman"/>
      </w:rPr>
    </w:pPr>
  </w:p>
  <w:p>
    <w:pPr>
      <w:pStyle w:val="10"/>
      <w:framePr w:wrap="around" w:vAnchor="text" w:hAnchor="margin" w:xAlign="outside" w:y="1"/>
      <w:rPr>
        <w:rStyle w:val="18"/>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8"/>
        <w:rFonts w:ascii="宋体" w:hAnsi="宋体"/>
        <w:sz w:val="28"/>
        <w:szCs w:val="28"/>
      </w:rPr>
    </w:pP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8"/>
        <w:rFonts w:hint="eastAsia"/>
      </w:rPr>
    </w:pPr>
  </w:p>
  <w:p>
    <w:pPr>
      <w:pStyle w:val="10"/>
      <w:framePr w:wrap="around" w:vAnchor="text" w:hAnchor="margin" w:xAlign="outside" w:y="1"/>
      <w:rPr>
        <w:rStyle w:val="18"/>
        <w:rFonts w:hint="eastAsia"/>
      </w:rPr>
    </w:pPr>
  </w:p>
  <w:p>
    <w:pPr>
      <w:pStyle w:val="10"/>
      <w:framePr w:wrap="around" w:vAnchor="text" w:hAnchor="margin" w:xAlign="outside" w:y="1"/>
      <w:rPr>
        <w:rStyle w:val="18"/>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1">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A68016C"/>
    <w:multiLevelType w:val="singleLevel"/>
    <w:tmpl w:val="5A68016C"/>
    <w:lvl w:ilvl="0" w:tentative="0">
      <w:start w:val="2"/>
      <w:numFmt w:val="decimal"/>
      <w:suff w:val="nothing"/>
      <w:lvlText w:val="%1、"/>
      <w:lvlJc w:val="left"/>
      <w:pPr>
        <w:ind w:left="481" w:firstLine="0"/>
      </w:pPr>
    </w:lvl>
  </w:abstractNum>
  <w:abstractNum w:abstractNumId="3">
    <w:nsid w:val="5A7124DB"/>
    <w:multiLevelType w:val="singleLevel"/>
    <w:tmpl w:val="5A7124DB"/>
    <w:lvl w:ilvl="0" w:tentative="0">
      <w:start w:val="6"/>
      <w:numFmt w:val="chineseCounting"/>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3E176C7"/>
    <w:rsid w:val="04A56D22"/>
    <w:rsid w:val="05FA1398"/>
    <w:rsid w:val="0F283973"/>
    <w:rsid w:val="10B226E1"/>
    <w:rsid w:val="11830B72"/>
    <w:rsid w:val="118A1C2B"/>
    <w:rsid w:val="1C2F47A5"/>
    <w:rsid w:val="1CFF29F6"/>
    <w:rsid w:val="1D384C6E"/>
    <w:rsid w:val="1FE43AF7"/>
    <w:rsid w:val="205058A7"/>
    <w:rsid w:val="24BC441B"/>
    <w:rsid w:val="259801CB"/>
    <w:rsid w:val="2DBA37B3"/>
    <w:rsid w:val="31DD129B"/>
    <w:rsid w:val="321F5762"/>
    <w:rsid w:val="32415C43"/>
    <w:rsid w:val="337A01D3"/>
    <w:rsid w:val="35533053"/>
    <w:rsid w:val="39125AFB"/>
    <w:rsid w:val="39F15F29"/>
    <w:rsid w:val="3B8B56B5"/>
    <w:rsid w:val="3DF239A8"/>
    <w:rsid w:val="40522D81"/>
    <w:rsid w:val="4255265B"/>
    <w:rsid w:val="44403E97"/>
    <w:rsid w:val="4493353B"/>
    <w:rsid w:val="45AB4CC4"/>
    <w:rsid w:val="4AE905BD"/>
    <w:rsid w:val="4C514EDD"/>
    <w:rsid w:val="4D3F2ADF"/>
    <w:rsid w:val="4EC400D5"/>
    <w:rsid w:val="4F2E4B55"/>
    <w:rsid w:val="50E32F3E"/>
    <w:rsid w:val="51CE0489"/>
    <w:rsid w:val="54184293"/>
    <w:rsid w:val="543C0511"/>
    <w:rsid w:val="54E61D80"/>
    <w:rsid w:val="596B5EFA"/>
    <w:rsid w:val="59C232FC"/>
    <w:rsid w:val="5C57765F"/>
    <w:rsid w:val="5E5D375C"/>
    <w:rsid w:val="5F085800"/>
    <w:rsid w:val="5FAB2C98"/>
    <w:rsid w:val="648D04EB"/>
    <w:rsid w:val="6546056C"/>
    <w:rsid w:val="65F451AE"/>
    <w:rsid w:val="66095472"/>
    <w:rsid w:val="67F65E7C"/>
    <w:rsid w:val="6C51537A"/>
    <w:rsid w:val="70FF13DF"/>
    <w:rsid w:val="7128436B"/>
    <w:rsid w:val="74890A67"/>
    <w:rsid w:val="74E97A52"/>
    <w:rsid w:val="784373F7"/>
    <w:rsid w:val="791436BF"/>
    <w:rsid w:val="7A417D66"/>
    <w:rsid w:val="7ED63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Body Text Indent"/>
    <w:basedOn w:val="1"/>
    <w:qFormat/>
    <w:uiPriority w:val="0"/>
    <w:pPr>
      <w:ind w:firstLine="630"/>
    </w:pPr>
    <w:rPr>
      <w:sz w:val="32"/>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qFormat/>
    <w:uiPriority w:val="99"/>
    <w:rPr>
      <w:rFonts w:ascii="Verdana" w:hAnsi="Verdana" w:cs="Verdana"/>
      <w:color w:val="000000"/>
      <w:sz w:val="18"/>
      <w:szCs w:val="18"/>
      <w:u w:val="none"/>
      <w:bdr w:val="single" w:color="6AAAA3" w:sz="2" w:space="0"/>
    </w:rPr>
  </w:style>
  <w:style w:type="paragraph" w:customStyle="1" w:styleId="20">
    <w:name w:val="正文首行缩进两字符"/>
    <w:basedOn w:val="1"/>
    <w:qFormat/>
    <w:uiPriority w:val="0"/>
    <w:pPr>
      <w:spacing w:line="360" w:lineRule="auto"/>
      <w:ind w:firstLine="200" w:firstLineChars="200"/>
    </w:pPr>
  </w:style>
  <w:style w:type="paragraph" w:customStyle="1" w:styleId="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3">
    <w:name w:val="Quote"/>
    <w:basedOn w:val="1"/>
    <w:next w:val="1"/>
    <w:qFormat/>
    <w:uiPriority w:val="21"/>
    <w:pPr>
      <w:ind w:left="864" w:right="864"/>
      <w:jc w:val="center"/>
    </w:pPr>
    <w:rPr>
      <w:rFonts w:eastAsia="微软雅黑"/>
      <w:i/>
      <w:color w:val="404040"/>
      <w:szCs w:val="21"/>
    </w:rPr>
  </w:style>
  <w:style w:type="paragraph" w:customStyle="1" w:styleId="24">
    <w:name w:val="样式 首行缩进:  2 字符"/>
    <w:basedOn w:val="1"/>
    <w:qFormat/>
    <w:uiPriority w:val="0"/>
    <w:pPr>
      <w:spacing w:line="400" w:lineRule="exact"/>
      <w:ind w:firstLine="200" w:firstLineChars="200"/>
    </w:pPr>
    <w:rPr>
      <w:rFonts w:cs="宋体"/>
      <w:sz w:val="24"/>
    </w:rPr>
  </w:style>
  <w:style w:type="paragraph" w:styleId="25">
    <w:name w:val="List Paragraph"/>
    <w:basedOn w:val="1"/>
    <w:qFormat/>
    <w:uiPriority w:val="0"/>
    <w:pPr>
      <w:ind w:firstLine="420" w:firstLineChars="200"/>
    </w:pPr>
  </w:style>
  <w:style w:type="paragraph" w:customStyle="1" w:styleId="26">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22293</Words>
  <Characters>23554</Characters>
  <Lines>0</Lines>
  <Paragraphs>0</Paragraphs>
  <TotalTime>24</TotalTime>
  <ScaleCrop>false</ScaleCrop>
  <LinksUpToDate>false</LinksUpToDate>
  <CharactersWithSpaces>24697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2022-04-18T01:04:00Z</cp:lastPrinted>
  <dcterms:modified xsi:type="dcterms:W3CDTF">2023-02-14T00:35:40Z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C1D98890AFC34C3384DC441C94A3BC52</vt:lpwstr>
  </property>
  <property fmtid="{D5CDD505-2E9C-101B-9397-08002B2CF9AE}" pid="4" name="commondata">
    <vt:lpwstr>eyJoZGlkIjoiYjI4ZTRmYjVlYzNkNTI0ODRlNjM3ODNhMDNlNmUwYmQifQ==</vt:lpwstr>
  </property>
</Properties>
</file>