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采[2023]2</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r>
        <w:rPr>
          <w:rFonts w:hint="eastAsia" w:ascii="宋体"/>
          <w:b/>
          <w:w w:val="90"/>
          <w:sz w:val="44"/>
          <w:szCs w:val="44"/>
          <w:lang w:val="en-US" w:eastAsia="zh-CN"/>
        </w:rPr>
        <w:t>不锈钢换药柜等一批设备</w:t>
      </w:r>
    </w:p>
    <w:p>
      <w:pPr>
        <w:jc w:val="center"/>
        <w:rPr>
          <w:rFonts w:hint="default" w:ascii="宋体"/>
          <w:b/>
          <w:w w:val="90"/>
          <w:sz w:val="44"/>
          <w:szCs w:val="44"/>
          <w:lang w:val="en-US" w:eastAsia="zh-CN"/>
        </w:rPr>
      </w:pP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w:t>
      </w:r>
      <w:r>
        <w:rPr>
          <w:rFonts w:hint="eastAsia" w:ascii="宋体"/>
          <w:b/>
          <w:sz w:val="30"/>
          <w:szCs w:val="30"/>
          <w:lang w:val="zh-CN" w:eastAsia="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不锈钢换药柜等一批设备</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20.3</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19.89</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5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 </w:t>
      </w:r>
      <w:r>
        <w:rPr>
          <w:rFonts w:hint="eastAsia" w:ascii="宋体" w:hAnsi="宋体" w:cs="宋体"/>
          <w:b/>
          <w:color w:val="FF0000"/>
          <w:sz w:val="24"/>
        </w:rPr>
        <w:t>月</w:t>
      </w:r>
      <w:r>
        <w:rPr>
          <w:rFonts w:hint="eastAsia" w:ascii="宋体" w:hAnsi="宋体" w:cs="宋体"/>
          <w:b/>
          <w:color w:val="FF0000"/>
          <w:sz w:val="24"/>
          <w:lang w:val="en-US" w:eastAsia="zh-CN"/>
        </w:rPr>
        <w:t xml:space="preserve"> 11</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1</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11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11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李老师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18728680518               15700534589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4日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7067"/>
      <w:bookmarkStart w:id="7" w:name="_Toc15215"/>
      <w:bookmarkStart w:id="8" w:name="_Toc31240"/>
      <w:bookmarkStart w:id="9" w:name="_Toc24295"/>
      <w:bookmarkStart w:id="10" w:name="_Toc13038"/>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治疗车ABS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209847069"/>
      <w:bookmarkStart w:id="13" w:name="_Toc101250646"/>
      <w:bookmarkStart w:id="14" w:name="_Toc430773927"/>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77400782"/>
      <w:bookmarkStart w:id="18" w:name="_Toc183582231"/>
      <w:bookmarkStart w:id="19" w:name="_Toc183682368"/>
      <w:bookmarkStart w:id="20" w:name="_Toc217446056"/>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不锈钢换药柜</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护理车</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平车</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病历柜（40位）</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354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急救车ABS</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治疗车ABS</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pPr>
        <w:pStyle w:val="2"/>
        <w:numPr>
          <w:ilvl w:val="0"/>
          <w:numId w:val="0"/>
        </w:numPr>
        <w:rPr>
          <w:rFonts w:hint="eastAsia"/>
          <w:lang w:val="en-US" w:eastAsia="zh-CN"/>
        </w:rPr>
      </w:pPr>
    </w:p>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color w:val="auto"/>
          <w:kern w:val="2"/>
          <w:sz w:val="24"/>
          <w:szCs w:val="24"/>
          <w:lang w:val="en-US" w:eastAsia="zh-CN" w:bidi="ar-SA"/>
        </w:rPr>
      </w:pPr>
      <w:r>
        <w:rPr>
          <w:rFonts w:hint="eastAsia" w:ascii="黑体" w:hAnsi="黑体" w:eastAsia="黑体" w:cs="黑体"/>
          <w:b/>
          <w:bCs/>
          <w:color w:val="auto"/>
          <w:kern w:val="2"/>
          <w:sz w:val="28"/>
          <w:szCs w:val="28"/>
          <w:lang w:val="en-US" w:eastAsia="zh-CN" w:bidi="ar-SA"/>
        </w:rPr>
        <w:t>1、不锈钢换药柜</w:t>
      </w:r>
      <w:r>
        <w:rPr>
          <w:rFonts w:hint="eastAsia" w:ascii="宋体" w:hAnsi="宋体" w:eastAsia="宋体" w:cs="宋体"/>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规格：900*400*1750mm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柜体采用优质冷轧钢板,厚度不低于1.0mm，隔板厚度不低于0.8mm。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底座高度不低于100mm,四周加固。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上、下柜搁板有加强条。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柜体多工序模具成型。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玻璃厚度不小于5mm,采用静音消声耐磨滑轨。连接处二氧化碳保护焊焊接，牢固、可靠。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304不锈钢台面，台面正方圆弧边。</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 xml:space="preserve">2、护理车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规格：940*550*850mm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采用304优质不锈钢板, 厚度不低于1.0mm。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立柱不锈钢管直径不小于25mm,钢管壁厚不小于1.2mm。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连接处氩氟焊焊接，牢固、可靠。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高档静音耐磨脚轮，带两个刹车。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优质帆布，便于拆洗。</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 xml:space="preserve">3、平车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规格：1900*550*750mm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采用304优质不锈钢管材，不锈钢钢管直径不小于32mm,钢管壁厚不小于1.2mm。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床面为优质人革面材质，耐磨易清洁，推车左右两侧配置折叠式护栏，能方便拉起或放下。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配4只轮径125mm高档耐磨静音轮，带刹车。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车体下配杂物筐一只。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配输液杆，直径不小于16mm，壁厚不小于1mm。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承重不低于150kg。</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auto"/>
          <w:kern w:val="2"/>
          <w:sz w:val="24"/>
          <w:szCs w:val="24"/>
          <w:lang w:val="en-US" w:eastAsia="zh-CN" w:bidi="ar-SA"/>
        </w:rPr>
      </w:pPr>
      <w:r>
        <w:rPr>
          <w:rFonts w:hint="eastAsia" w:ascii="黑体" w:hAnsi="黑体" w:eastAsia="黑体" w:cs="黑体"/>
          <w:b/>
          <w:bCs/>
          <w:color w:val="auto"/>
          <w:kern w:val="2"/>
          <w:sz w:val="28"/>
          <w:szCs w:val="28"/>
          <w:lang w:val="en-US" w:eastAsia="zh-CN" w:bidi="ar-SA"/>
        </w:rPr>
        <w:t xml:space="preserve">4、病历柜（40位） </w:t>
      </w:r>
      <w:r>
        <w:rPr>
          <w:rFonts w:hint="eastAsia" w:ascii="宋体" w:hAnsi="宋体" w:eastAsia="宋体" w:cs="宋体"/>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（1）采用优质</w:t>
      </w:r>
      <w:r>
        <w:rPr>
          <w:rFonts w:hint="eastAsia" w:ascii="宋体" w:hAnsi="宋体" w:eastAsia="宋体" w:cs="宋体"/>
          <w:color w:val="auto"/>
          <w:kern w:val="2"/>
          <w:sz w:val="24"/>
          <w:szCs w:val="24"/>
          <w:lang w:val="en-US" w:eastAsia="zh-CN" w:bidi="ar-SA"/>
        </w:rPr>
        <w:t>不锈钢板</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主架材质及厚度： 25 mm×25 mm×1.2mm  不锈钢板料厚：1.2mm。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脚轮材质及功能描述：Φ100人造静音轮，其中两只带刹；推动灵活，制动牢固。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2列，每列20个病历位，可存放40位病人病历。</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 xml:space="preserve">5、急救车 ABS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规格：750*475*930mm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车体主要由塑、铝、钢结构组成；ABS注塑模具成型工艺台面，易清洁；塑钢四柱承重。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上部：ABS注塑工艺成型台面，台面实用尺寸:512*433*12mm，两侧带有扶手，专业锐器盒，可左右任意摆放，凹陷设计可防止物品滑落，304材质不锈钢护栏，台面上配透明软玻璃。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正面：中控锁，配置有五层抽屉，第一二层小抽面80mm内空：424*375*68mm，两中抽面120mm内空：424*375*110mm，一深抽面240mm内空：424*375*220mm，抽屉内 3*3分隔片，可自由分隔，抽屉拉手为红色燕尾款式、封口插槽式标识牌、防止液体及灰尘进入；标签式面积根据人体工程学原理设计、插槽式向上倾斜便于观望、拉手内层模具加厚手感更加踏实。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左侧：隐藏式伸缩副工作台、档案盒。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右侧：配有隐藏式伸缩输液架、ABS双污物桶分色。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背部：除颤板，氧气瓶支架，活动5米电源线。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底部：豪华万向插入式静音轮，其中两只带刹车功能，脚轮材料为高强度聚氨酯。防静电、防毛发缠绕、移动轻便灵活。</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6、治疗车ABS</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规格：690*520*950mm</w:t>
      </w:r>
      <w:bookmarkStart w:id="34" w:name="_GoBack"/>
      <w:bookmarkEnd w:id="3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适用于医护人员对病人急救；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主体：主要由铝·钛钢·ABS工程塑料结构组成；四柱承重；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ABS双层底面注塑工艺成型台面，凹陷设计可防止物品滑落，台面配有304材质不锈钢护栏，台面上配透明软玻璃;两侧有花蓝，两只圆形锐气桶，两只ABS污物桶方便存放垃圾；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配置有一层抽屉，3*3分隔片，可自由分隔，抽屉为ABS材料，可取出；抽屉面板带标示牌；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color w:val="auto"/>
          <w:sz w:val="24"/>
          <w:szCs w:val="24"/>
          <w:lang w:val="en-US" w:eastAsia="zh-CN"/>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豪华静音脚轮，其中两只带刹车，可在任意状态下使用刹车功能，坚固耐用，可在平整地面上任意推动，转向。</w:t>
      </w:r>
    </w:p>
    <w:p>
      <w:pPr>
        <w:pStyle w:val="7"/>
        <w:spacing w:line="400" w:lineRule="exact"/>
        <w:ind w:firstLine="640"/>
        <w:rPr>
          <w:rFonts w:hint="default" w:cs="宋体"/>
          <w:color w:val="auto"/>
          <w:sz w:val="24"/>
          <w:szCs w:val="24"/>
          <w:lang w:val="en-US" w:eastAsia="zh-CN"/>
        </w:rPr>
      </w:pP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numPr>
          <w:ilvl w:val="0"/>
          <w:numId w:val="0"/>
        </w:numPr>
        <w:spacing w:line="400" w:lineRule="exact"/>
        <w:ind w:firstLine="480" w:firstLineChars="200"/>
        <w:rPr>
          <w:rFonts w:hint="default" w:cs="宋体"/>
          <w:color w:val="auto"/>
          <w:sz w:val="24"/>
          <w:szCs w:val="24"/>
          <w:lang w:val="en-US" w:eastAsia="zh-CN"/>
        </w:rPr>
      </w:pPr>
      <w:r>
        <w:rPr>
          <w:rFonts w:hint="eastAsia" w:cs="宋体"/>
          <w:color w:val="auto"/>
          <w:sz w:val="24"/>
          <w:szCs w:val="24"/>
          <w:lang w:val="en-US" w:eastAsia="zh-CN"/>
        </w:rPr>
        <w:t>1、设备年正常运行时间不低于347天。</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 xml:space="preserve">2、供应商提供的维修配件为原装全新配件。 </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3、供应商为采购人维保服务提供电话、传真和电子邮件支持。</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4、供应商须有负责本项目的专职人员1-2名，提供授权文件和专职人员的身份证证明。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采购人60日内支付90%合同金额，180日内支付剩余10%。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200267B"/>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974493"/>
    <w:rsid w:val="2DBA37B3"/>
    <w:rsid w:val="31C75BFC"/>
    <w:rsid w:val="31E056B1"/>
    <w:rsid w:val="32415C43"/>
    <w:rsid w:val="324E00CB"/>
    <w:rsid w:val="336D52FF"/>
    <w:rsid w:val="357B5200"/>
    <w:rsid w:val="36AB3566"/>
    <w:rsid w:val="38CF6C67"/>
    <w:rsid w:val="3A027D9F"/>
    <w:rsid w:val="3DA22932"/>
    <w:rsid w:val="435B5C38"/>
    <w:rsid w:val="4411464B"/>
    <w:rsid w:val="45AB4CC4"/>
    <w:rsid w:val="45F91CA4"/>
    <w:rsid w:val="46F04E55"/>
    <w:rsid w:val="47444D75"/>
    <w:rsid w:val="498F7B0C"/>
    <w:rsid w:val="4A1A4C1E"/>
    <w:rsid w:val="4AE905BD"/>
    <w:rsid w:val="4AF905C9"/>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7F65E7C"/>
    <w:rsid w:val="682F0B15"/>
    <w:rsid w:val="68E75513"/>
    <w:rsid w:val="698836FF"/>
    <w:rsid w:val="6B883AD8"/>
    <w:rsid w:val="6FB86553"/>
    <w:rsid w:val="70260E8E"/>
    <w:rsid w:val="7128436B"/>
    <w:rsid w:val="73A42611"/>
    <w:rsid w:val="750E512E"/>
    <w:rsid w:val="75AC5B7C"/>
    <w:rsid w:val="791436BF"/>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21620</Words>
  <Characters>22755</Characters>
  <Lines>0</Lines>
  <Paragraphs>0</Paragraphs>
  <TotalTime>9</TotalTime>
  <ScaleCrop>false</ScaleCrop>
  <LinksUpToDate>false</LinksUpToDate>
  <CharactersWithSpaces>23931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2023-01-04T01:27:55Z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E52CA5F5345B482AAC9EABBE808BD104</vt:lpwstr>
  </property>
</Properties>
</file>