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采[2022]64</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邻水县人民医院手术体位垫一批采购项目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2023</w:t>
      </w:r>
      <w:r>
        <w:rPr>
          <w:b/>
          <w:bCs/>
          <w:sz w:val="32"/>
          <w:szCs w:val="32"/>
          <w:lang w:val="zh-CN"/>
        </w:rPr>
        <w:t>年</w:t>
      </w:r>
      <w:r>
        <w:rPr>
          <w:rFonts w:hint="eastAsia"/>
          <w:b/>
          <w:bCs/>
          <w:sz w:val="32"/>
          <w:szCs w:val="32"/>
          <w:lang w:val="en-US" w:eastAsia="zh-CN"/>
        </w:rPr>
        <w:t>1</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采[2022]64</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手术体位垫一批采购项目</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val="en-US" w:eastAsia="zh-CN"/>
        </w:rPr>
        <w:t>预算金额</w:t>
      </w:r>
      <w:r>
        <w:rPr>
          <w:rFonts w:hint="eastAsia" w:ascii="宋体" w:hAnsi="宋体"/>
          <w:color w:val="FF0000"/>
          <w:sz w:val="24"/>
          <w:u w:val="single"/>
          <w:lang w:val="en-US" w:eastAsia="zh-CN"/>
        </w:rPr>
        <w:t>12.4</w:t>
      </w:r>
      <w:r>
        <w:rPr>
          <w:rFonts w:hint="eastAsia" w:ascii="宋体" w:hAnsi="宋体"/>
          <w:color w:val="FF0000"/>
          <w:sz w:val="24"/>
          <w:lang w:val="en-US" w:eastAsia="zh-CN"/>
        </w:rPr>
        <w:t>万元，最高限价</w:t>
      </w:r>
      <w:r>
        <w:rPr>
          <w:rFonts w:hint="eastAsia" w:ascii="宋体" w:hAnsi="宋体"/>
          <w:color w:val="FF0000"/>
          <w:sz w:val="24"/>
          <w:u w:val="single"/>
          <w:lang w:val="en-US" w:eastAsia="zh-CN"/>
        </w:rPr>
        <w:t xml:space="preserve"> 11.16 </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sz w:val="24"/>
          <w:szCs w:val="22"/>
          <w:lang w:val="en-US" w:eastAsia="zh-CN"/>
        </w:rPr>
      </w:pPr>
      <w:r>
        <w:rPr>
          <w:rFonts w:hint="eastAsia" w:ascii="宋体" w:hAnsi="宋体" w:cs="Times New Roman"/>
          <w:sz w:val="24"/>
        </w:rPr>
        <w:t>3.本项目的特定资格要求：</w:t>
      </w:r>
      <w:r>
        <w:rPr>
          <w:rFonts w:hint="eastAsia" w:ascii="宋体" w:hAnsi="宋体" w:cs="Times New Roman"/>
          <w:b w:val="0"/>
          <w:bCs w:val="0"/>
          <w:sz w:val="24"/>
          <w:lang w:val="en-US" w:eastAsia="zh-CN"/>
        </w:rPr>
        <w:t>无</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 xml:space="preserve"> 4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rPr>
        <w:t>月</w:t>
      </w:r>
      <w:r>
        <w:rPr>
          <w:rFonts w:hint="eastAsia" w:ascii="宋体" w:hAnsi="宋体"/>
          <w:b/>
          <w:bCs/>
          <w:color w:val="FF0000"/>
          <w:sz w:val="24"/>
          <w:u w:val="single"/>
          <w:lang w:val="en-US" w:eastAsia="zh-CN"/>
        </w:rPr>
        <w:t xml:space="preserve"> 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w:t>
      </w:r>
      <w:r>
        <w:rPr>
          <w:rFonts w:hint="eastAsia" w:ascii="宋体" w:hAnsi="宋体" w:cs="宋体"/>
          <w:b/>
          <w:color w:val="FF0000"/>
          <w:sz w:val="24"/>
        </w:rPr>
        <w:t>月</w:t>
      </w:r>
      <w:r>
        <w:rPr>
          <w:rFonts w:hint="eastAsia" w:ascii="宋体" w:hAnsi="宋体" w:cs="宋体"/>
          <w:b/>
          <w:color w:val="FF0000"/>
          <w:sz w:val="24"/>
          <w:lang w:val="en-US" w:eastAsia="zh-CN"/>
        </w:rPr>
        <w:t xml:space="preserve">10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10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10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郭老师</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15708268077        18728680518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3日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color w:val="000000"/>
                <w:lang w:val="zh-CN"/>
              </w:rPr>
            </w:pPr>
          </w:p>
        </w:tc>
        <w:tc>
          <w:tcPr>
            <w:tcW w:w="6084"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leftChars="0"/>
              <w:jc w:val="center"/>
              <w:rPr>
                <w:rFonts w:ascii="Times New Roman" w:hAnsi="Times New Roman" w:eastAsia="宋体" w:cs="Times New Roman"/>
                <w:color w:val="000000"/>
                <w:kern w:val="2"/>
                <w:sz w:val="21"/>
                <w:szCs w:val="24"/>
                <w:lang w:val="zh-CN" w:eastAsia="zh-CN" w:bidi="ar-SA"/>
              </w:rPr>
            </w:pPr>
            <w:r>
              <w:rPr>
                <w:rFonts w:hint="eastAsia"/>
                <w:color w:val="000000"/>
                <w:lang w:val="zh-CN"/>
              </w:rPr>
              <w:t>投标保证金</w:t>
            </w:r>
          </w:p>
        </w:tc>
        <w:tc>
          <w:tcPr>
            <w:tcW w:w="6084" w:type="dxa"/>
            <w:noWrap w:val="0"/>
            <w:vAlign w:val="center"/>
          </w:tcPr>
          <w:p>
            <w:pPr>
              <w:spacing w:line="276" w:lineRule="auto"/>
              <w:ind w:left="210" w:leftChars="100"/>
              <w:rPr>
                <w:rFonts w:hint="eastAsia" w:ascii="Times New Roman" w:hAnsi="Times New Roman" w:eastAsia="宋体" w:cs="Times New Roman"/>
                <w:color w:val="000000"/>
                <w:kern w:val="2"/>
                <w:sz w:val="21"/>
                <w:szCs w:val="24"/>
                <w:lang w:val="en-US" w:eastAsia="zh-CN" w:bidi="ar-SA"/>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rFonts w:ascii="Times New Roman" w:hAnsi="Times New Roman" w:eastAsia="宋体" w:cs="Times New Roman"/>
                <w:color w:val="000000"/>
                <w:kern w:val="2"/>
                <w:sz w:val="21"/>
                <w:szCs w:val="24"/>
                <w:lang w:val="zh-CN" w:eastAsia="zh-CN" w:bidi="ar-SA"/>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ascii="Times New Roman" w:hAnsi="Times New Roman" w:eastAsia="宋体" w:cs="Times New Roman"/>
                <w:color w:val="000000"/>
                <w:kern w:val="2"/>
                <w:sz w:val="21"/>
                <w:szCs w:val="24"/>
                <w:lang w:val="zh-CN" w:eastAsia="zh-CN" w:bidi="ar-SA"/>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left="0" w:leftChars="0" w:firstLine="0" w:firstLineChars="0"/>
              <w:jc w:val="center"/>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24295"/>
      <w:bookmarkStart w:id="7" w:name="_Toc13038"/>
      <w:bookmarkStart w:id="8" w:name="_Toc17067"/>
      <w:bookmarkStart w:id="9" w:name="_Toc31240"/>
      <w:bookmarkStart w:id="10" w:name="_Toc1521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俯卧位头垫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评审小组</w:t>
      </w:r>
      <w:r>
        <w:rPr>
          <w:rFonts w:hint="eastAsia" w:hAnsi="宋体"/>
          <w:sz w:val="24"/>
        </w:rPr>
        <w:t>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w:t>
      </w:r>
      <w:r>
        <w:rPr>
          <w:rFonts w:hint="eastAsia" w:ascii="宋体" w:hAnsi="宋体" w:cs="宋体"/>
          <w:sz w:val="24"/>
          <w:lang w:eastAsia="zh-CN"/>
        </w:rPr>
        <w:t>五</w:t>
      </w:r>
      <w:r>
        <w:rPr>
          <w:rFonts w:hint="eastAsia" w:ascii="宋体" w:hAnsi="宋体" w:eastAsia="宋体" w:cs="宋体"/>
          <w:sz w:val="24"/>
        </w:rPr>
        <w:t>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430773927"/>
      <w:bookmarkStart w:id="14" w:name="_Toc101338364"/>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p>
    <w:p>
      <w:pPr>
        <w:pStyle w:val="2"/>
        <w:rPr>
          <w:rFonts w:hint="eastAsia"/>
          <w:lang w:val="en-US" w:eastAsia="zh-CN"/>
        </w:rPr>
      </w:pP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582231"/>
      <w:bookmarkStart w:id="18" w:name="_Toc217446056"/>
      <w:bookmarkStart w:id="19" w:name="_Toc77400782"/>
      <w:bookmarkStart w:id="20" w:name="_Toc183682368"/>
    </w:p>
    <w:bookmarkEnd w:id="16"/>
    <w:bookmarkEnd w:id="17"/>
    <w:bookmarkEnd w:id="18"/>
    <w:bookmarkEnd w:id="19"/>
    <w:bookmarkEnd w:id="20"/>
    <w:p>
      <w:pPr>
        <w:spacing w:line="440" w:lineRule="exact"/>
        <w:ind w:firstLine="643" w:firstLineChars="200"/>
        <w:jc w:val="center"/>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因工作开展需要</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购置手术体位垫一批</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113"/>
        <w:gridCol w:w="1584"/>
        <w:gridCol w:w="14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11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58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113" w:type="dxa"/>
            <w:shd w:val="clear" w:color="auto" w:fill="FFFFFF"/>
            <w:noWrap w:val="0"/>
            <w:vAlign w:val="center"/>
          </w:tcPr>
          <w:p>
            <w:pPr>
              <w:jc w:val="center"/>
              <w:rPr>
                <w:rFonts w:hint="default" w:ascii="Times New Roman" w:hAnsi="Times New Roman" w:cs="Times New Roman" w:eastAsiaTheme="minorEastAsia"/>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俯卧位头垫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0"/>
                <w:szCs w:val="22"/>
                <w:lang w:val="en-US" w:eastAsia="zh-CN"/>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3</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2</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凹边圆形头圈</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5</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3</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甲状腺垫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3</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4</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骨科柱垫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2</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5</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臀垫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5</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6</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跟骨垫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6</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7</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侧卧位垫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3</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8</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半圆形垫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3</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Times New Roman" w:hAnsi="Times New Roman"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9</w:t>
            </w:r>
          </w:p>
        </w:tc>
        <w:tc>
          <w:tcPr>
            <w:tcW w:w="3113" w:type="dxa"/>
            <w:shd w:val="clear" w:color="auto" w:fill="FFFFFF"/>
            <w:noWrap w:val="0"/>
            <w:vAlign w:val="center"/>
          </w:tcPr>
          <w:p>
            <w:pPr>
              <w:jc w:val="center"/>
              <w:rPr>
                <w:rFonts w:hint="default" w:ascii="Times New Roman" w:hAnsi="Times New Roman" w:cs="Times New Roman" w:eastAsiaTheme="minorEastAsia"/>
                <w:b w:val="0"/>
                <w:bCs w:val="0"/>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凹性体位垫</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0"/>
                <w:szCs w:val="20"/>
                <w:lang w:val="en-US" w:eastAsia="zh-CN" w:bidi="ar-SA"/>
              </w:rPr>
            </w:pPr>
            <w:r>
              <w:rPr>
                <w:rFonts w:hint="default" w:ascii="Times New Roman" w:hAnsi="Times New Roman" w:eastAsia="方正仿宋_GBK" w:cs="Times New Roman"/>
                <w:b w:val="0"/>
                <w:color w:val="auto"/>
                <w:kern w:val="2"/>
                <w:sz w:val="24"/>
                <w:szCs w:val="24"/>
                <w:lang w:val="en-US" w:eastAsia="zh-CN" w:bidi="ar-SA"/>
              </w:rPr>
              <w:t>个</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b w:val="0"/>
                <w:color w:val="auto"/>
                <w:kern w:val="2"/>
                <w:sz w:val="22"/>
                <w:szCs w:val="22"/>
                <w:lang w:val="en-US" w:eastAsia="zh-CN" w:bidi="ar-SA"/>
              </w:rPr>
            </w:pPr>
            <w:r>
              <w:rPr>
                <w:rFonts w:hint="default" w:ascii="Times New Roman" w:hAnsi="Times New Roman" w:eastAsia="方正仿宋_GBK" w:cs="Times New Roman"/>
                <w:b w:val="0"/>
                <w:color w:val="auto"/>
                <w:kern w:val="2"/>
                <w:sz w:val="24"/>
                <w:szCs w:val="24"/>
                <w:lang w:val="en-US" w:eastAsia="zh-CN" w:bidi="ar-SA"/>
              </w:rPr>
              <w:t>10</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 产品主要构成为高分子凝胶，为患者提供稳定柔软的手术体位固定</w:t>
      </w:r>
      <w:r>
        <w:rPr>
          <w:rFonts w:hint="eastAsia" w:cs="宋体"/>
          <w:color w:val="auto"/>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 设计符合人体工程学原理</w:t>
      </w:r>
      <w:r>
        <w:rPr>
          <w:rFonts w:hint="eastAsia" w:cs="宋体"/>
          <w:color w:val="auto"/>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 耐受温度为-18℃至+55℃，易清洗，可消毒</w:t>
      </w:r>
      <w:r>
        <w:rPr>
          <w:rFonts w:hint="eastAsia" w:cs="宋体"/>
          <w:color w:val="auto"/>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 废弃时无特殊处理要求，可作为一般医疗垃圾处理</w:t>
      </w:r>
      <w:r>
        <w:rPr>
          <w:rFonts w:hint="eastAsia" w:cs="宋体"/>
          <w:color w:val="auto"/>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 产品效期≥5年</w:t>
      </w:r>
      <w:r>
        <w:rPr>
          <w:rFonts w:hint="eastAsia" w:cs="宋体"/>
          <w:color w:val="auto"/>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宋体"/>
          <w:color w:val="auto"/>
          <w:highlight w:val="none"/>
          <w:lang w:val="en-US" w:eastAsia="zh-CN"/>
        </w:rPr>
      </w:pPr>
      <w:r>
        <w:rPr>
          <w:rFonts w:hint="eastAsia" w:ascii="宋体" w:hAnsi="宋体" w:eastAsia="宋体" w:cs="宋体"/>
          <w:color w:val="auto"/>
          <w:highlight w:val="none"/>
          <w:lang w:val="en-US" w:eastAsia="zh-CN"/>
        </w:rPr>
        <w:t>6. 支持尺寸按采购人要求定制，并提供至少三种颜色及两种软硬度可选</w:t>
      </w:r>
      <w:r>
        <w:rPr>
          <w:rFonts w:hint="eastAsia" w:cs="宋体"/>
          <w:color w:val="auto"/>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cs="宋体"/>
          <w:color w:val="auto"/>
          <w:highlight w:val="none"/>
          <w:lang w:val="en-US" w:eastAsia="zh-CN"/>
        </w:rPr>
      </w:pPr>
      <w:r>
        <w:rPr>
          <w:rFonts w:hint="eastAsia" w:cs="宋体"/>
          <w:color w:val="auto"/>
          <w:highlight w:val="none"/>
          <w:lang w:val="en-US" w:eastAsia="zh-CN"/>
        </w:rPr>
        <w:t>7. 提供产品彩页。</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质保期内出现因质量问题不能正常使用的，做退、换货处理。退、换货时间不计入质保期。</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签订合同</w:t>
      </w:r>
      <w:r>
        <w:rPr>
          <w:rFonts w:hint="eastAsia" w:hAnsi="宋体" w:cs="宋体"/>
          <w:kern w:val="0"/>
          <w:sz w:val="24"/>
        </w:rPr>
        <w:t>后</w:t>
      </w:r>
      <w:r>
        <w:rPr>
          <w:rFonts w:hint="eastAsia" w:cs="宋体"/>
          <w:kern w:val="0"/>
          <w:sz w:val="24"/>
          <w:highlight w:val="none"/>
          <w:lang w:val="en-US" w:eastAsia="zh-CN"/>
        </w:rPr>
        <w:t>10</w:t>
      </w:r>
      <w:r>
        <w:rPr>
          <w:rFonts w:hint="eastAsia" w:hAnsi="宋体" w:cs="宋体"/>
          <w:kern w:val="0"/>
          <w:sz w:val="24"/>
          <w:highlight w:val="none"/>
        </w:rPr>
        <w:t>个</w:t>
      </w:r>
      <w:r>
        <w:rPr>
          <w:rFonts w:hint="eastAsia" w:hAnsi="宋体" w:cs="宋体"/>
          <w:kern w:val="0"/>
          <w:sz w:val="24"/>
        </w:rPr>
        <w:t>工作日</w:t>
      </w:r>
      <w:r>
        <w:rPr>
          <w:rFonts w:hint="eastAsia" w:cs="宋体"/>
          <w:kern w:val="0"/>
          <w:sz w:val="24"/>
          <w:lang w:eastAsia="zh-CN"/>
        </w:rPr>
        <w:t>内交付</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验收合格后，采购人接到票据凭证资料以后的</w:t>
      </w:r>
      <w:r>
        <w:rPr>
          <w:rFonts w:hint="eastAsia" w:cs="宋体"/>
          <w:color w:val="auto"/>
          <w:highlight w:val="none"/>
          <w:lang w:val="en-US" w:eastAsia="zh-CN"/>
        </w:rPr>
        <w:t>6</w:t>
      </w:r>
      <w:r>
        <w:rPr>
          <w:rFonts w:hint="eastAsia" w:ascii="宋体" w:hAnsi="宋体" w:eastAsia="宋体" w:cs="宋体"/>
          <w:color w:val="auto"/>
          <w:highlight w:val="none"/>
          <w:lang w:val="en-US" w:eastAsia="zh-CN"/>
        </w:rPr>
        <w:t>0日内</w:t>
      </w:r>
      <w:r>
        <w:rPr>
          <w:rFonts w:hint="eastAsia" w:hAnsi="宋体" w:cs="宋体"/>
          <w:kern w:val="0"/>
          <w:sz w:val="24"/>
        </w:rPr>
        <w:t>付合同总价的</w:t>
      </w:r>
      <w:r>
        <w:rPr>
          <w:rFonts w:hint="eastAsia" w:cs="宋体"/>
          <w:kern w:val="0"/>
          <w:sz w:val="24"/>
          <w:lang w:val="en-US" w:eastAsia="zh-CN"/>
        </w:rPr>
        <w:t>9</w:t>
      </w:r>
      <w:r>
        <w:rPr>
          <w:rFonts w:hint="eastAsia" w:hAnsi="宋体" w:cs="宋体"/>
          <w:kern w:val="0"/>
          <w:sz w:val="24"/>
        </w:rPr>
        <w:t>0% ，</w:t>
      </w:r>
      <w:r>
        <w:rPr>
          <w:rFonts w:hint="eastAsia" w:cs="宋体"/>
          <w:kern w:val="0"/>
          <w:sz w:val="24"/>
          <w:lang w:val="en-US" w:eastAsia="zh-CN"/>
        </w:rPr>
        <w:t>180</w:t>
      </w:r>
      <w:r>
        <w:rPr>
          <w:rFonts w:hint="eastAsia" w:hAnsi="宋体" w:cs="宋体"/>
          <w:kern w:val="0"/>
          <w:sz w:val="24"/>
          <w:lang w:val="en-US" w:eastAsia="zh-CN"/>
        </w:rPr>
        <w:t>日后</w:t>
      </w:r>
      <w:r>
        <w:rPr>
          <w:rFonts w:hint="eastAsia" w:cs="宋体"/>
          <w:kern w:val="0"/>
          <w:sz w:val="24"/>
          <w:lang w:val="en-US" w:eastAsia="zh-CN"/>
        </w:rPr>
        <w:t>支</w:t>
      </w:r>
      <w:r>
        <w:rPr>
          <w:rFonts w:hint="eastAsia" w:hAnsi="宋体" w:cs="宋体"/>
          <w:kern w:val="0"/>
          <w:sz w:val="24"/>
          <w:lang w:val="en-US" w:eastAsia="zh-CN"/>
        </w:rPr>
        <w:t>付</w:t>
      </w:r>
      <w:r>
        <w:rPr>
          <w:rFonts w:hint="eastAsia" w:cs="宋体"/>
          <w:kern w:val="0"/>
          <w:sz w:val="24"/>
          <w:lang w:eastAsia="zh-CN"/>
        </w:rPr>
        <w:t>剩余</w:t>
      </w:r>
      <w:r>
        <w:rPr>
          <w:rFonts w:hint="eastAsia" w:cs="宋体"/>
          <w:kern w:val="0"/>
          <w:sz w:val="24"/>
          <w:lang w:val="en-US" w:eastAsia="zh-CN"/>
        </w:rPr>
        <w:t>1</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1、乙方按照甲方的要求把产品送至指定位置。</w:t>
      </w:r>
    </w:p>
    <w:p>
      <w:pPr>
        <w:pStyle w:val="7"/>
        <w:spacing w:line="500" w:lineRule="exact"/>
        <w:ind w:firstLine="480"/>
        <w:rPr>
          <w:rFonts w:hint="eastAsia" w:ascii="宋体" w:hAnsi="宋体" w:cs="宋体"/>
          <w:b w:val="0"/>
          <w:color w:val="auto"/>
          <w:kern w:val="2"/>
          <w:sz w:val="30"/>
          <w:szCs w:val="30"/>
          <w:lang w:val="en-US" w:eastAsia="zh-CN" w:bidi="ar-SA"/>
        </w:rPr>
      </w:pPr>
      <w:r>
        <w:rPr>
          <w:rFonts w:hint="eastAsia" w:ascii="宋体" w:hAnsi="宋体" w:eastAsia="宋体" w:cs="宋体"/>
          <w:color w:val="auto"/>
          <w:highlight w:val="none"/>
          <w:lang w:val="en-US" w:eastAsia="zh-CN"/>
        </w:rPr>
        <w:t>2、乙方保证该产品运输、安装等安全，并且按时保质完工。</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w:t>
      </w:r>
      <w:r>
        <w:rPr>
          <w:rFonts w:hint="eastAsia" w:hAnsi="宋体" w:cs="宋体"/>
          <w:kern w:val="0"/>
          <w:sz w:val="24"/>
          <w:lang w:val="en-US" w:eastAsia="zh-CN"/>
        </w:rPr>
        <w:t>2</w:t>
      </w:r>
      <w:r>
        <w:rPr>
          <w:rFonts w:hint="eastAsia" w:hAnsi="宋体" w:cs="宋体"/>
          <w:kern w:val="0"/>
          <w:sz w:val="24"/>
        </w:rPr>
        <w:t>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pStyle w:val="2"/>
        <w:rPr>
          <w:rFonts w:hint="eastAsia"/>
        </w:rPr>
      </w:pPr>
    </w:p>
    <w:p>
      <w:pPr>
        <w:pStyle w:val="3"/>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pStyle w:val="2"/>
        <w:rPr>
          <w:rFonts w:hint="eastAsia" w:ascii="宋体" w:hAnsi="宋体"/>
          <w:bCs/>
          <w:sz w:val="24"/>
          <w:lang w:eastAsia="zh-CN"/>
        </w:rPr>
      </w:pPr>
    </w:p>
    <w:p>
      <w:pPr>
        <w:adjustRightInd w:val="0"/>
        <w:snapToGrid w:val="0"/>
        <w:spacing w:line="400" w:lineRule="exact"/>
        <w:ind w:firstLine="482" w:firstLineChars="200"/>
        <w:rPr>
          <w:rFonts w:hint="eastAsia" w:ascii="宋体" w:hAnsi="宋体"/>
          <w:b/>
          <w:bCs/>
          <w:color w:val="auto"/>
          <w:sz w:val="24"/>
        </w:rPr>
      </w:pPr>
      <w:r>
        <w:rPr>
          <w:rFonts w:hint="eastAsia" w:ascii="宋体" w:hAnsi="宋体"/>
          <w:b/>
          <w:bCs/>
          <w:color w:val="auto"/>
          <w:sz w:val="24"/>
        </w:rPr>
        <w:t>1.询价程序</w:t>
      </w:r>
    </w:p>
    <w:p>
      <w:pPr>
        <w:adjustRightInd w:val="0"/>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1.1供应商签到并递交</w:t>
      </w:r>
      <w:r>
        <w:rPr>
          <w:rFonts w:hint="eastAsia" w:ascii="宋体" w:hAnsi="宋体"/>
          <w:bCs/>
          <w:color w:val="auto"/>
          <w:sz w:val="24"/>
          <w:lang w:eastAsia="zh-CN"/>
        </w:rPr>
        <w:t>投标文件</w:t>
      </w:r>
      <w:r>
        <w:rPr>
          <w:rFonts w:hint="eastAsia" w:ascii="宋体" w:hAnsi="宋体"/>
          <w:bCs/>
          <w:color w:val="auto"/>
          <w:sz w:val="24"/>
        </w:rPr>
        <w:t>。</w:t>
      </w:r>
      <w:bookmarkStart w:id="32" w:name="_GoBack"/>
      <w:bookmarkEnd w:id="32"/>
    </w:p>
    <w:p>
      <w:pPr>
        <w:adjustRightInd w:val="0"/>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1.2资格审查。</w:t>
      </w:r>
    </w:p>
    <w:p>
      <w:pPr>
        <w:adjustRightInd w:val="0"/>
        <w:snapToGrid w:val="0"/>
        <w:spacing w:line="400" w:lineRule="exact"/>
        <w:ind w:firstLine="480" w:firstLineChars="200"/>
        <w:rPr>
          <w:rFonts w:hint="eastAsia" w:ascii="宋体" w:hAnsi="宋体" w:eastAsia="宋体" w:cs="Times New Roman"/>
          <w:bCs/>
          <w:color w:val="auto"/>
          <w:sz w:val="24"/>
          <w:lang w:eastAsia="zh-CN"/>
        </w:rPr>
      </w:pPr>
      <w:r>
        <w:rPr>
          <w:rFonts w:hint="eastAsia" w:ascii="宋体" w:hAnsi="宋体"/>
          <w:bCs/>
          <w:color w:val="auto"/>
          <w:sz w:val="24"/>
        </w:rPr>
        <w:t>1.</w:t>
      </w:r>
      <w:r>
        <w:rPr>
          <w:rFonts w:hint="eastAsia" w:ascii="宋体" w:hAnsi="宋体"/>
          <w:bCs/>
          <w:color w:val="auto"/>
          <w:sz w:val="24"/>
          <w:lang w:val="en-US" w:eastAsia="zh-CN"/>
        </w:rPr>
        <w:t>3</w:t>
      </w:r>
      <w:r>
        <w:rPr>
          <w:rFonts w:hint="eastAsia" w:ascii="宋体" w:hAnsi="宋体"/>
          <w:bCs/>
          <w:color w:val="auto"/>
          <w:sz w:val="24"/>
        </w:rPr>
        <w:t>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rPr>
        <w:t>1.</w:t>
      </w:r>
      <w:r>
        <w:rPr>
          <w:rFonts w:hint="eastAsia" w:ascii="宋体" w:hAnsi="宋体" w:cs="Times New Roman"/>
          <w:bCs/>
          <w:color w:val="auto"/>
          <w:sz w:val="24"/>
          <w:lang w:val="en-US" w:eastAsia="zh-CN"/>
        </w:rPr>
        <w:t>4</w:t>
      </w:r>
      <w:r>
        <w:rPr>
          <w:rFonts w:hint="eastAsia" w:ascii="宋体" w:hAnsi="宋体"/>
          <w:bCs/>
          <w:color w:val="auto"/>
          <w:sz w:val="24"/>
        </w:rPr>
        <w:t>询价小组</w:t>
      </w:r>
      <w:r>
        <w:rPr>
          <w:rFonts w:hint="eastAsia" w:ascii="宋体" w:hAnsi="宋体"/>
          <w:bCs/>
          <w:color w:val="auto"/>
          <w:sz w:val="24"/>
          <w:lang w:eastAsia="zh-CN"/>
        </w:rPr>
        <w:t>对通过资格审查的供应商进行符合性审查。向未通过符合性审</w:t>
      </w:r>
      <w:r>
        <w:rPr>
          <w:rFonts w:hint="eastAsia" w:ascii="宋体" w:hAnsi="宋体" w:eastAsia="宋体" w:cs="Times New Roman"/>
          <w:bCs/>
          <w:color w:val="auto"/>
          <w:sz w:val="24"/>
          <w:lang w:eastAsia="zh-CN"/>
        </w:rPr>
        <w:t>查的供应商说明原因。</w:t>
      </w:r>
    </w:p>
    <w:p>
      <w:pPr>
        <w:pStyle w:val="2"/>
        <w:rPr>
          <w:rFonts w:hint="default"/>
          <w:color w:val="auto"/>
          <w:lang w:val="en-US" w:eastAsia="zh-CN"/>
        </w:rPr>
      </w:pPr>
      <w:r>
        <w:rPr>
          <w:rFonts w:hint="eastAsia" w:ascii="宋体" w:hAnsi="宋体" w:eastAsia="宋体" w:cs="Times New Roman"/>
          <w:bCs/>
          <w:color w:val="auto"/>
          <w:sz w:val="24"/>
          <w:lang w:val="en-US" w:eastAsia="zh-CN"/>
        </w:rPr>
        <w:t xml:space="preserve">   1.</w:t>
      </w:r>
      <w:r>
        <w:rPr>
          <w:rFonts w:hint="eastAsia" w:ascii="宋体" w:hAnsi="宋体" w:cs="Times New Roman"/>
          <w:bCs/>
          <w:color w:val="auto"/>
          <w:sz w:val="24"/>
          <w:lang w:val="en-US" w:eastAsia="zh-CN"/>
        </w:rPr>
        <w:t>5</w:t>
      </w:r>
      <w:r>
        <w:rPr>
          <w:rFonts w:hint="eastAsia" w:ascii="宋体" w:hAnsi="宋体" w:eastAsia="宋体" w:cs="Times New Roman"/>
          <w:bCs/>
          <w:color w:val="auto"/>
          <w:sz w:val="24"/>
          <w:lang w:val="en-US" w:eastAsia="zh-CN"/>
        </w:rPr>
        <w:t>本项目一次性报价</w:t>
      </w:r>
      <w:r>
        <w:rPr>
          <w:rFonts w:hint="eastAsia" w:ascii="宋体" w:hAnsi="宋体" w:eastAsia="宋体" w:cs="Times New Roman"/>
          <w:b w:val="0"/>
          <w:color w:val="auto"/>
          <w:kern w:val="2"/>
          <w:sz w:val="24"/>
          <w:szCs w:val="24"/>
          <w:lang w:val="en-US" w:eastAsia="zh-CN" w:bidi="ar-SA"/>
        </w:rPr>
        <w:t>。</w:t>
      </w:r>
    </w:p>
    <w:p>
      <w:pPr>
        <w:adjustRightInd w:val="0"/>
        <w:snapToGrid w:val="0"/>
        <w:spacing w:line="400" w:lineRule="exact"/>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cs="Times New Roman"/>
          <w:bCs/>
          <w:color w:val="auto"/>
          <w:sz w:val="24"/>
          <w:lang w:val="en-US" w:eastAsia="zh-CN"/>
        </w:rPr>
        <w:t>6</w:t>
      </w:r>
      <w:r>
        <w:rPr>
          <w:rFonts w:hint="eastAsia" w:ascii="宋体" w:hAnsi="宋体" w:eastAsia="宋体" w:cs="Times New Roman"/>
          <w:bCs/>
          <w:color w:val="auto"/>
          <w:sz w:val="24"/>
        </w:rPr>
        <w:t>询价小组从质量和服务均能满足采购文件实质性要求的供应商中，按照供应商的</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价由低到高排序。供应商报价相同的，由询价小组抽签确定推荐的成交候选供应商顺序。</w:t>
      </w:r>
    </w:p>
    <w:p>
      <w:pPr>
        <w:adjustRightInd w:val="0"/>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7</w:t>
      </w:r>
      <w:r>
        <w:rPr>
          <w:rFonts w:hint="eastAsia" w:ascii="宋体" w:hAnsi="宋体"/>
          <w:bCs/>
          <w:color w:val="auto"/>
          <w:sz w:val="24"/>
          <w:lang w:eastAsia="zh-CN"/>
        </w:rPr>
        <w:t>询价小组</w:t>
      </w:r>
      <w:r>
        <w:rPr>
          <w:rFonts w:hint="eastAsia" w:ascii="宋体" w:hAnsi="宋体"/>
          <w:bCs/>
          <w:color w:val="auto"/>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9</w:t>
      </w:r>
      <w:r>
        <w:rPr>
          <w:rFonts w:hint="eastAsia" w:ascii="宋体" w:hAnsi="宋体"/>
          <w:bCs/>
          <w:color w:val="auto"/>
          <w:sz w:val="24"/>
        </w:rPr>
        <w:t>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rPr>
          <w:rFonts w:hint="eastAsia"/>
          <w:lang w:eastAsia="zh-CN"/>
        </w:rPr>
      </w:pPr>
    </w:p>
    <w:p>
      <w:pPr>
        <w:pStyle w:val="3"/>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49810624"/>
      <w:bookmarkStart w:id="31" w:name="_Toc350864527"/>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17E55A5"/>
    <w:rsid w:val="026B31D2"/>
    <w:rsid w:val="02C54A78"/>
    <w:rsid w:val="031829C5"/>
    <w:rsid w:val="0398300A"/>
    <w:rsid w:val="03B51295"/>
    <w:rsid w:val="047D0B61"/>
    <w:rsid w:val="04A56D22"/>
    <w:rsid w:val="08404F36"/>
    <w:rsid w:val="08E71842"/>
    <w:rsid w:val="0AD22B0E"/>
    <w:rsid w:val="0C0A4D44"/>
    <w:rsid w:val="0C130EFC"/>
    <w:rsid w:val="0C6A7EAB"/>
    <w:rsid w:val="0EA14121"/>
    <w:rsid w:val="10174669"/>
    <w:rsid w:val="10684B5B"/>
    <w:rsid w:val="10B226E1"/>
    <w:rsid w:val="11830B72"/>
    <w:rsid w:val="1383036E"/>
    <w:rsid w:val="15233F52"/>
    <w:rsid w:val="16BD4DC5"/>
    <w:rsid w:val="172C1B8A"/>
    <w:rsid w:val="18A652CB"/>
    <w:rsid w:val="1A6E1B1A"/>
    <w:rsid w:val="1BAF1D98"/>
    <w:rsid w:val="1BD7243B"/>
    <w:rsid w:val="1CFF29F6"/>
    <w:rsid w:val="1D384C6E"/>
    <w:rsid w:val="1D920941"/>
    <w:rsid w:val="1DB138E4"/>
    <w:rsid w:val="1E956EB2"/>
    <w:rsid w:val="1F101A43"/>
    <w:rsid w:val="1FE43AF7"/>
    <w:rsid w:val="205058A7"/>
    <w:rsid w:val="222E012F"/>
    <w:rsid w:val="24BC441B"/>
    <w:rsid w:val="259801CB"/>
    <w:rsid w:val="2BAF3823"/>
    <w:rsid w:val="2C5867E5"/>
    <w:rsid w:val="2CFD602C"/>
    <w:rsid w:val="2DBA37B3"/>
    <w:rsid w:val="2DF25AF7"/>
    <w:rsid w:val="2F4A3E20"/>
    <w:rsid w:val="32415C43"/>
    <w:rsid w:val="329D75BD"/>
    <w:rsid w:val="34B03568"/>
    <w:rsid w:val="3516357D"/>
    <w:rsid w:val="366370C2"/>
    <w:rsid w:val="38623EC9"/>
    <w:rsid w:val="39020526"/>
    <w:rsid w:val="3924748A"/>
    <w:rsid w:val="396323BA"/>
    <w:rsid w:val="3EC84C50"/>
    <w:rsid w:val="3EF15101"/>
    <w:rsid w:val="3FDD1625"/>
    <w:rsid w:val="41892B88"/>
    <w:rsid w:val="42E51925"/>
    <w:rsid w:val="43680D36"/>
    <w:rsid w:val="43C36BBC"/>
    <w:rsid w:val="44355B03"/>
    <w:rsid w:val="446F1657"/>
    <w:rsid w:val="44C47DD0"/>
    <w:rsid w:val="44CD567E"/>
    <w:rsid w:val="44E71387"/>
    <w:rsid w:val="45AB4CC4"/>
    <w:rsid w:val="476C0F8C"/>
    <w:rsid w:val="48591532"/>
    <w:rsid w:val="4AE905BD"/>
    <w:rsid w:val="4D3F2ADF"/>
    <w:rsid w:val="4D7868F5"/>
    <w:rsid w:val="4DE359D1"/>
    <w:rsid w:val="4EC400D5"/>
    <w:rsid w:val="50AB20B2"/>
    <w:rsid w:val="50E32F3E"/>
    <w:rsid w:val="51765377"/>
    <w:rsid w:val="51992CB5"/>
    <w:rsid w:val="520B16FA"/>
    <w:rsid w:val="53367F96"/>
    <w:rsid w:val="54E61D80"/>
    <w:rsid w:val="55D235A4"/>
    <w:rsid w:val="574776AD"/>
    <w:rsid w:val="59C232FC"/>
    <w:rsid w:val="5AB75D0E"/>
    <w:rsid w:val="5C032FCE"/>
    <w:rsid w:val="5C57765F"/>
    <w:rsid w:val="5D405AE1"/>
    <w:rsid w:val="5E212E97"/>
    <w:rsid w:val="5E5D375C"/>
    <w:rsid w:val="5FAB2C98"/>
    <w:rsid w:val="609F1150"/>
    <w:rsid w:val="61382AE7"/>
    <w:rsid w:val="64972136"/>
    <w:rsid w:val="65F451AE"/>
    <w:rsid w:val="66095472"/>
    <w:rsid w:val="668F31C3"/>
    <w:rsid w:val="66C9487A"/>
    <w:rsid w:val="679010BF"/>
    <w:rsid w:val="67F65E7C"/>
    <w:rsid w:val="6A4B2AF2"/>
    <w:rsid w:val="6AF62A84"/>
    <w:rsid w:val="6C0D76BF"/>
    <w:rsid w:val="6CC7575A"/>
    <w:rsid w:val="6E0E1B48"/>
    <w:rsid w:val="6EA06CC2"/>
    <w:rsid w:val="6F3A30AE"/>
    <w:rsid w:val="6F973DEB"/>
    <w:rsid w:val="6F987EA6"/>
    <w:rsid w:val="7128436B"/>
    <w:rsid w:val="724E48D6"/>
    <w:rsid w:val="72F13255"/>
    <w:rsid w:val="738E376F"/>
    <w:rsid w:val="76A05AE6"/>
    <w:rsid w:val="77657C7D"/>
    <w:rsid w:val="777B6D4D"/>
    <w:rsid w:val="784373F7"/>
    <w:rsid w:val="78A97606"/>
    <w:rsid w:val="791436BF"/>
    <w:rsid w:val="7A63359F"/>
    <w:rsid w:val="7B1D3DDF"/>
    <w:rsid w:val="7C1C61F8"/>
    <w:rsid w:val="7D6E4016"/>
    <w:rsid w:val="7D990FE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next w:val="1"/>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19436</Words>
  <Characters>20274</Characters>
  <Lines>0</Lines>
  <Paragraphs>0</Paragraphs>
  <TotalTime>1</TotalTime>
  <ScaleCrop>false</ScaleCrop>
  <LinksUpToDate>false</LinksUpToDate>
  <CharactersWithSpaces>21451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2023-01-03T04:04:00Z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2C3A5961D25B48578E719585347C738F</vt:lpwstr>
  </property>
  <property fmtid="{D5CDD505-2E9C-101B-9397-08002B2CF9AE}" pid="4" name="commondata">
    <vt:lpwstr>eyJoZGlkIjoiYjI4ZTRmYjVlYzNkNTI0ODRlNjM3ODNhMDNlNmUwYmQifQ==</vt:lpwstr>
  </property>
</Properties>
</file>