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采[2022]54</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eastAsia" w:ascii="宋体"/>
          <w:b/>
          <w:w w:val="90"/>
          <w:sz w:val="44"/>
          <w:szCs w:val="44"/>
          <w:lang w:eastAsia="zh-CN"/>
        </w:rPr>
      </w:pPr>
      <w:r>
        <w:rPr>
          <w:rFonts w:hint="eastAsia" w:ascii="宋体"/>
          <w:b/>
          <w:w w:val="90"/>
          <w:sz w:val="44"/>
          <w:szCs w:val="44"/>
          <w:lang w:eastAsia="zh-CN"/>
        </w:rPr>
        <w:t>市级新冠肺炎定点医院重症监护床采购项目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16"/>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9</w:t>
      </w:r>
      <w:r>
        <w:rPr>
          <w:b/>
          <w:bCs/>
          <w:sz w:val="32"/>
          <w:szCs w:val="32"/>
          <w:lang w:val="zh-CN"/>
        </w:rPr>
        <w:t>月</w:t>
      </w:r>
    </w:p>
    <w:p>
      <w:pPr>
        <w:pStyle w:val="16"/>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采[2022]54</w:t>
      </w:r>
      <w:r>
        <w:rPr>
          <w:rFonts w:hint="eastAsia" w:ascii="宋体" w:hAnsi="宋体"/>
          <w:sz w:val="24"/>
          <w:lang w:eastAsia="zh-CN"/>
        </w:rPr>
        <w:t>号</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w:t>
      </w:r>
      <w:r>
        <w:rPr>
          <w:rFonts w:hint="eastAsia" w:ascii="宋体" w:hAnsi="宋体" w:eastAsia="宋体" w:cs="宋体"/>
          <w:color w:val="000000"/>
          <w:kern w:val="0"/>
          <w:sz w:val="24"/>
          <w:szCs w:val="24"/>
          <w:lang w:val="en-US" w:eastAsia="zh-CN" w:bidi="ar"/>
        </w:rPr>
        <w:t>新冠肺炎定点医院</w:t>
      </w:r>
      <w:r>
        <w:rPr>
          <w:rFonts w:hint="eastAsia" w:ascii="宋体" w:hAnsi="宋体" w:cs="宋体"/>
          <w:color w:val="000000"/>
          <w:kern w:val="0"/>
          <w:sz w:val="24"/>
          <w:szCs w:val="24"/>
          <w:lang w:val="en-US" w:eastAsia="zh-CN" w:bidi="ar"/>
        </w:rPr>
        <w:t>重症监护床</w:t>
      </w:r>
      <w:r>
        <w:rPr>
          <w:rFonts w:hint="eastAsia" w:ascii="宋体" w:hAnsi="宋体" w:eastAsia="宋体" w:cs="宋体"/>
          <w:color w:val="000000"/>
          <w:kern w:val="0"/>
          <w:sz w:val="24"/>
          <w:szCs w:val="24"/>
          <w:lang w:val="en-US" w:eastAsia="zh-CN" w:bidi="ar"/>
        </w:rPr>
        <w:t>采购项目3.采购人：邻水县人民医院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16.8</w:t>
      </w:r>
      <w:r>
        <w:rPr>
          <w:rFonts w:hint="eastAsia" w:ascii="宋体" w:hAnsi="宋体"/>
          <w:color w:val="FF0000"/>
          <w:sz w:val="24"/>
          <w:lang w:val="en-US" w:eastAsia="zh-CN"/>
        </w:rPr>
        <w:t>万元，最高限价</w:t>
      </w:r>
      <w:r>
        <w:rPr>
          <w:rFonts w:hint="eastAsia" w:ascii="宋体" w:hAnsi="宋体"/>
          <w:color w:val="FF0000"/>
          <w:sz w:val="24"/>
          <w:u w:val="single"/>
          <w:lang w:val="en-US" w:eastAsia="zh-CN"/>
        </w:rPr>
        <w:t>15.75</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sz w:val="24"/>
          <w:szCs w:val="22"/>
          <w:lang w:val="en-US" w:eastAsia="zh-CN"/>
        </w:rPr>
        <w:t>具有医疗器械生产或经营企业许可证明 ，生产或经营范围与投标产品类别一致。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7</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lang w:val="en-US" w:eastAsia="zh-CN"/>
        </w:rPr>
        <w:t>12</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9</w:t>
      </w:r>
      <w:r>
        <w:rPr>
          <w:rFonts w:hint="eastAsia" w:ascii="宋体" w:hAnsi="宋体" w:cs="宋体"/>
          <w:b/>
          <w:color w:val="FF0000"/>
          <w:sz w:val="24"/>
        </w:rPr>
        <w:t>月</w:t>
      </w:r>
      <w:r>
        <w:rPr>
          <w:rFonts w:hint="eastAsia" w:ascii="宋体" w:hAnsi="宋体" w:cs="宋体"/>
          <w:b/>
          <w:color w:val="FF0000"/>
          <w:sz w:val="24"/>
          <w:lang w:val="en-US" w:eastAsia="zh-CN"/>
        </w:rPr>
        <w:t xml:space="preserve"> 13</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13</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9</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13</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bookmarkStart w:id="32" w:name="_GoBack"/>
      <w:bookmarkEnd w:id="32"/>
      <w:r>
        <w:rPr>
          <w:rFonts w:hint="eastAsia" w:ascii="宋体" w:hAnsi="宋体" w:cs="Times New Roman"/>
          <w:b/>
          <w:sz w:val="24"/>
          <w:lang w:val="en-US" w:eastAsia="zh-CN"/>
        </w:rPr>
        <w:t>）</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魏老师13882615861</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9</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31240"/>
      <w:bookmarkStart w:id="7" w:name="_Toc15215"/>
      <w:bookmarkStart w:id="8" w:name="_Toc17067"/>
      <w:bookmarkStart w:id="9" w:name="_Toc24295"/>
      <w:bookmarkStart w:id="10" w:name="_Toc13038"/>
    </w:p>
    <w:p>
      <w:pPr>
        <w:pStyle w:val="4"/>
        <w:keepNext w:val="0"/>
        <w:keepLines w:val="0"/>
        <w:spacing w:before="0" w:after="0" w:line="400" w:lineRule="exact"/>
        <w:jc w:val="center"/>
        <w:rPr>
          <w:rFonts w:hint="eastAsia" w:ascii="黑体"/>
          <w:bCs w:val="0"/>
        </w:rPr>
      </w:pPr>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430773927"/>
      <w:bookmarkStart w:id="13" w:name="_Toc101174151"/>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spacing w:line="540" w:lineRule="exact"/>
        <w:ind w:firstLine="480" w:firstLineChars="200"/>
        <w:rPr>
          <w:rFonts w:hint="eastAsia" w:ascii="宋体" w:hAnsi="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rPr>
        <w:t>提供医疗器械生产或经营企业许可证，</w:t>
      </w:r>
      <w:r>
        <w:rPr>
          <w:rFonts w:hint="eastAsia" w:ascii="宋体" w:hAnsi="宋体" w:cs="Times New Roman"/>
          <w:sz w:val="24"/>
          <w:lang w:eastAsia="zh-CN"/>
        </w:rPr>
        <w:t>生产或经营范围与</w:t>
      </w:r>
      <w:r>
        <w:rPr>
          <w:rFonts w:hint="eastAsia" w:ascii="宋体" w:hAnsi="宋体" w:cs="Times New Roman"/>
          <w:sz w:val="24"/>
        </w:rPr>
        <w:t>投标产品</w:t>
      </w:r>
      <w:r>
        <w:rPr>
          <w:rFonts w:hint="eastAsia" w:ascii="宋体" w:hAnsi="宋体" w:cs="Times New Roman"/>
          <w:sz w:val="24"/>
          <w:lang w:eastAsia="zh-CN"/>
        </w:rPr>
        <w:t>类别一致</w:t>
      </w:r>
      <w:r>
        <w:rPr>
          <w:rFonts w:hint="eastAsia" w:ascii="宋体" w:hAnsi="宋体" w:cs="Times New Roman"/>
          <w:sz w:val="24"/>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16"/>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89075878"/>
      <w:bookmarkStart w:id="19" w:name="_Toc217446056"/>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邻水县人民医院作为广安市新冠肺炎定点救治医院，需</w:t>
      </w:r>
      <w:r>
        <w:rPr>
          <w:rFonts w:hint="eastAsia" w:ascii="宋体" w:hAnsi="宋体" w:cs="宋体"/>
          <w:color w:val="000000"/>
          <w:kern w:val="2"/>
          <w:sz w:val="24"/>
          <w:szCs w:val="24"/>
          <w:lang w:val="en-US" w:eastAsia="zh-CN" w:bidi="ar-SA"/>
        </w:rPr>
        <w:t>增加</w:t>
      </w:r>
      <w:r>
        <w:rPr>
          <w:rFonts w:hint="eastAsia" w:ascii="宋体" w:hAnsi="宋体" w:eastAsia="宋体" w:cs="宋体"/>
          <w:color w:val="000000"/>
          <w:kern w:val="2"/>
          <w:sz w:val="24"/>
          <w:szCs w:val="24"/>
          <w:lang w:val="en-US" w:eastAsia="zh-CN" w:bidi="ar-SA"/>
        </w:rPr>
        <w:t>重症监护</w:t>
      </w:r>
      <w:r>
        <w:rPr>
          <w:rFonts w:hint="eastAsia" w:ascii="宋体" w:hAnsi="宋体" w:cs="宋体"/>
          <w:color w:val="000000"/>
          <w:kern w:val="2"/>
          <w:sz w:val="24"/>
          <w:szCs w:val="24"/>
          <w:lang w:val="en-US" w:eastAsia="zh-CN" w:bidi="ar-SA"/>
        </w:rPr>
        <w:t>床位35张</w:t>
      </w:r>
      <w:r>
        <w:rPr>
          <w:rFonts w:hint="eastAsia" w:ascii="宋体" w:hAnsi="宋体" w:eastAsia="宋体" w:cs="宋体"/>
          <w:color w:val="000000"/>
          <w:kern w:val="2"/>
          <w:sz w:val="24"/>
          <w:szCs w:val="24"/>
          <w:lang w:val="en-US" w:eastAsia="zh-CN" w:bidi="ar-SA"/>
        </w:rPr>
        <w:t>。</w:t>
      </w:r>
    </w:p>
    <w:p>
      <w:pPr>
        <w:pStyle w:val="6"/>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41"/>
        <w:gridCol w:w="2959"/>
        <w:gridCol w:w="142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184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295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尺寸</w:t>
            </w:r>
          </w:p>
        </w:tc>
        <w:tc>
          <w:tcPr>
            <w:tcW w:w="142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12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1841"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重症监护床</w:t>
            </w:r>
          </w:p>
        </w:tc>
        <w:tc>
          <w:tcPr>
            <w:tcW w:w="295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lang w:val="en-US" w:eastAsia="zh-CN"/>
              </w:rPr>
            </w:pPr>
            <w:r>
              <w:rPr>
                <w:rFonts w:hint="eastAsia"/>
                <w:lang w:val="en-US" w:eastAsia="zh-CN"/>
              </w:rPr>
              <w:t>2150*900*520mm</w:t>
            </w:r>
          </w:p>
          <w:p>
            <w:pPr>
              <w:pStyle w:val="2"/>
              <w:jc w:val="center"/>
              <w:rPr>
                <w:rFonts w:hint="default"/>
                <w:lang w:val="en-US" w:eastAsia="zh-CN"/>
              </w:rPr>
            </w:pPr>
            <w:r>
              <w:rPr>
                <w:rFonts w:hint="eastAsia" w:ascii="宋体" w:hAnsi="宋体" w:cs="宋体"/>
                <w:b w:val="0"/>
                <w:color w:val="auto"/>
                <w:kern w:val="2"/>
                <w:sz w:val="21"/>
                <w:szCs w:val="21"/>
                <w:lang w:val="en-US" w:eastAsia="zh-CN" w:bidi="ar-SA"/>
              </w:rPr>
              <w:t>（允许</w:t>
            </w:r>
            <w:r>
              <w:rPr>
                <w:rFonts w:hint="eastAsia" w:asciiTheme="minorEastAsia" w:hAnsiTheme="minorEastAsia" w:eastAsiaTheme="minorEastAsia" w:cstheme="minorEastAsia"/>
                <w:b w:val="0"/>
                <w:bCs w:val="0"/>
                <w:kern w:val="2"/>
                <w:sz w:val="24"/>
                <w:szCs w:val="24"/>
                <w:lang w:val="en-US" w:eastAsia="zh-CN" w:bidi="ar-SA"/>
              </w:rPr>
              <w:t>正负偏差20mm</w:t>
            </w:r>
            <w:r>
              <w:rPr>
                <w:rFonts w:hint="eastAsia" w:ascii="宋体" w:hAnsi="宋体" w:cs="宋体"/>
                <w:b w:val="0"/>
                <w:color w:val="auto"/>
                <w:kern w:val="2"/>
                <w:sz w:val="21"/>
                <w:szCs w:val="21"/>
                <w:lang w:val="en-US" w:eastAsia="zh-CN" w:bidi="ar-SA"/>
              </w:rPr>
              <w:t>)</w:t>
            </w:r>
          </w:p>
        </w:tc>
        <w:tc>
          <w:tcPr>
            <w:tcW w:w="142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35</w:t>
            </w:r>
            <w:r>
              <w:rPr>
                <w:rFonts w:hint="eastAsia" w:asciiTheme="minorEastAsia" w:hAnsiTheme="minorEastAsia" w:eastAsiaTheme="minorEastAsia" w:cstheme="minorEastAsia"/>
                <w:b w:val="0"/>
                <w:bCs w:val="0"/>
                <w:kern w:val="2"/>
                <w:sz w:val="24"/>
                <w:szCs w:val="24"/>
                <w:lang w:val="en-US" w:eastAsia="zh-CN" w:bidi="ar-SA"/>
              </w:rPr>
              <w:t>张</w:t>
            </w:r>
          </w:p>
        </w:tc>
        <w:tc>
          <w:tcPr>
            <w:tcW w:w="112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4"/>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16"/>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配置：</w:t>
      </w:r>
    </w:p>
    <w:p>
      <w:pPr>
        <w:keepNext w:val="0"/>
        <w:keepLines w:val="0"/>
        <w:pageBreakBefore w:val="0"/>
        <w:numPr>
          <w:ilvl w:val="0"/>
          <w:numId w:val="0"/>
        </w:numPr>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中控脚轮、PP护栏、不锈钢输液架、杂物架、床垫，移动餐板。</w:t>
      </w:r>
    </w:p>
    <w:p>
      <w:pPr>
        <w:pStyle w:val="6"/>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技术要求及参数：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（1）材质：床面、床架、床脚全部采用冷轧钢板、钢管制造，并经二度磷化后静电喷涂，品质达到国家级标准。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（2）床架管壁厚度≧2.0mm。床板厚度≧1.2mm，床板分段液压成型，每段可拆卸，可更换。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（3）各焊接部位应牢固，不应有虚焊、漏焊、整体无曲翘现象。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29" w:firstLineChars="179"/>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（4）整体采用全自动</w:t>
      </w:r>
      <w:r>
        <w:rPr>
          <w:rFonts w:hint="eastAsia" w:ascii="宋体" w:hAnsi="宋体" w:cs="宋体"/>
          <w:color w:val="auto"/>
          <w:kern w:val="2"/>
          <w:sz w:val="24"/>
          <w:szCs w:val="24"/>
          <w:highlight w:val="none"/>
          <w:lang w:val="en-US" w:eastAsia="zh-CN" w:bidi="ar-SA"/>
        </w:rPr>
        <w:t>机</w:t>
      </w:r>
      <w:r>
        <w:rPr>
          <w:rFonts w:hint="eastAsia" w:ascii="宋体" w:hAnsi="宋体" w:eastAsia="宋体" w:cs="宋体"/>
          <w:color w:val="auto"/>
          <w:kern w:val="2"/>
          <w:sz w:val="24"/>
          <w:szCs w:val="24"/>
          <w:highlight w:val="none"/>
          <w:lang w:val="en-US" w:eastAsia="zh-CN" w:bidi="ar-SA"/>
        </w:rPr>
        <w:t>器人生产线焊接，整床金属部件100%施以高精度焊接工艺，确保病床安全确保焊接产品质量。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（5）床头尾板采用ABS工程塑料，颜色周边为乳白色，中间为蓝色（颜色可选）防火板。挂板式结构，可拆卸，床尾比床头低60mm，护栏板上设有角度显示，方便护理时知道腿，背部升起的角度，便于护理操作。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（6）丝杆采用45#钢一次滚压成型并带有极限位置保护螺杆，耐磨、轻便省力、无噪音，丝杆具备双向过盈保护装置，ABS隐藏式摇把。摇把手柄为隐藏折叠式无负荷时手柄启动力矩≦1N·m。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（7）中控锁双面带防缠绕功能脚轮，防止头发等杂物进入脚轮内部而造成推行故障。四个直径125mm的脚轮，病床尾部两个脚轮控制系统，一脚制动，四轮同时固定。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（8）配四个PP护栏（可上下定位带液压升降系统，长度不低于720mm，高度不低于320mm）。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（9）床头和床的中部分别配备4个输液架插孔。配置：二折式伸缩输液架，防震，具有四个挂钩，可同时进行多瓶输液；引流钩；搁物架。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（10）高档椰棕三折床垫规格：与床配套 由70mm厚高度海绵和椰棕组成，内层优质海绵厚度大于40mm，优质椰棕厚度30mm且并经防虫处理。产品材质抗细菌滋生，除菌率（大肠杆菌、金黄色葡萄球菌）＞99.99%</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0" w:firstLine="408" w:firstLineChars="17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（11）配置移动式餐桌板，方便病人用餐。</w:t>
      </w:r>
    </w:p>
    <w:p>
      <w:pPr>
        <w:pStyle w:val="16"/>
        <w:keepNext w:val="0"/>
        <w:keepLines w:val="0"/>
        <w:pageBreakBefore w:val="0"/>
        <w:widowControl w:val="0"/>
        <w:numPr>
          <w:ilvl w:val="0"/>
          <w:numId w:val="0"/>
        </w:numPr>
        <w:kinsoku/>
        <w:wordWrap/>
        <w:overflowPunct/>
        <w:topLinePunct w:val="0"/>
        <w:autoSpaceDE/>
        <w:autoSpaceDN/>
        <w:bidi w:val="0"/>
        <w:adjustRightInd/>
        <w:snapToGrid/>
        <w:ind w:left="10" w:leftChars="0" w:firstLine="408" w:firstLineChars="17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（12） 尺寸2150*900*520mm 允许正负偏差20mm </w:t>
      </w:r>
    </w:p>
    <w:p>
      <w:pPr>
        <w:pStyle w:val="6"/>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小时，4小时到达现场维修。质保期内出现因质量问题经过2次维修不能正常使用的，做退、换货处理。维修、换货时间不计入质保期。</w:t>
      </w:r>
    </w:p>
    <w:p>
      <w:pPr>
        <w:pStyle w:val="6"/>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6"/>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签订合同</w:t>
      </w:r>
      <w:r>
        <w:rPr>
          <w:rFonts w:hint="eastAsia" w:hAnsi="宋体" w:cs="宋体"/>
          <w:kern w:val="0"/>
          <w:sz w:val="24"/>
        </w:rPr>
        <w:t>后</w:t>
      </w:r>
      <w:r>
        <w:rPr>
          <w:rFonts w:hint="eastAsia" w:cs="宋体"/>
          <w:kern w:val="0"/>
          <w:sz w:val="24"/>
          <w:highlight w:val="none"/>
          <w:lang w:val="en-US" w:eastAsia="zh-CN"/>
        </w:rPr>
        <w:t>15</w:t>
      </w:r>
      <w:r>
        <w:rPr>
          <w:rFonts w:hint="eastAsia" w:hAnsi="宋体" w:cs="宋体"/>
          <w:kern w:val="0"/>
          <w:sz w:val="24"/>
          <w:highlight w:val="none"/>
        </w:rPr>
        <w:t>个</w:t>
      </w:r>
      <w:r>
        <w:rPr>
          <w:rFonts w:hint="eastAsia" w:hAnsi="宋体" w:cs="宋体"/>
          <w:kern w:val="0"/>
          <w:sz w:val="24"/>
        </w:rPr>
        <w:t>工作日</w:t>
      </w:r>
      <w:r>
        <w:rPr>
          <w:rFonts w:hint="eastAsia" w:cs="宋体"/>
          <w:kern w:val="0"/>
          <w:sz w:val="24"/>
          <w:lang w:eastAsia="zh-CN"/>
        </w:rPr>
        <w:t>内安装完毕</w:t>
      </w:r>
      <w:r>
        <w:rPr>
          <w:rFonts w:hint="eastAsia" w:hAnsi="宋体" w:cs="宋体"/>
          <w:kern w:val="0"/>
          <w:sz w:val="24"/>
        </w:rPr>
        <w:t>。</w:t>
      </w:r>
    </w:p>
    <w:p>
      <w:pPr>
        <w:pStyle w:val="6"/>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6"/>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6"/>
        <w:spacing w:line="500" w:lineRule="exact"/>
        <w:ind w:firstLine="480"/>
        <w:rPr>
          <w:rFonts w:hint="eastAsia" w:hAnsi="宋体" w:cs="宋体"/>
          <w:kern w:val="0"/>
          <w:sz w:val="24"/>
        </w:rPr>
      </w:pPr>
      <w:r>
        <w:rPr>
          <w:rFonts w:hint="eastAsia" w:hAnsi="宋体" w:cs="宋体"/>
          <w:kern w:val="0"/>
          <w:sz w:val="24"/>
        </w:rPr>
        <w:t>4、付款方式：</w:t>
      </w:r>
    </w:p>
    <w:p>
      <w:pPr>
        <w:pStyle w:val="6"/>
        <w:spacing w:line="500" w:lineRule="exact"/>
        <w:ind w:firstLine="480"/>
        <w:rPr>
          <w:rFonts w:hint="eastAsia" w:hAnsi="宋体" w:cs="宋体"/>
          <w:kern w:val="0"/>
          <w:sz w:val="24"/>
        </w:rPr>
      </w:pP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验收合格后，采购人接到成交供应商通知与票据凭证资料以后的</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0日内</w:t>
      </w:r>
      <w:r>
        <w:rPr>
          <w:rFonts w:hint="eastAsia" w:hAnsi="宋体" w:cs="宋体"/>
          <w:kern w:val="0"/>
          <w:sz w:val="24"/>
        </w:rPr>
        <w:t>付合同总价的</w:t>
      </w:r>
      <w:r>
        <w:rPr>
          <w:rFonts w:hint="eastAsia" w:cs="宋体"/>
          <w:kern w:val="0"/>
          <w:sz w:val="24"/>
          <w:lang w:val="en-US" w:eastAsia="zh-CN"/>
        </w:rPr>
        <w:t>9</w:t>
      </w:r>
      <w:r>
        <w:rPr>
          <w:rFonts w:hint="eastAsia" w:hAnsi="宋体" w:cs="宋体"/>
          <w:kern w:val="0"/>
          <w:sz w:val="24"/>
        </w:rPr>
        <w:t>0% ，</w:t>
      </w:r>
      <w:r>
        <w:rPr>
          <w:rFonts w:hint="eastAsia" w:cs="宋体"/>
          <w:kern w:val="0"/>
          <w:sz w:val="24"/>
          <w:lang w:val="en-US" w:eastAsia="zh-CN"/>
        </w:rPr>
        <w:t>180</w:t>
      </w:r>
      <w:r>
        <w:rPr>
          <w:rFonts w:hint="eastAsia" w:hAnsi="宋体" w:cs="宋体"/>
          <w:kern w:val="0"/>
          <w:sz w:val="24"/>
          <w:lang w:val="en-US" w:eastAsia="zh-CN"/>
        </w:rPr>
        <w:t>日后</w:t>
      </w:r>
      <w:r>
        <w:rPr>
          <w:rFonts w:hint="eastAsia" w:cs="宋体"/>
          <w:kern w:val="0"/>
          <w:sz w:val="24"/>
          <w:lang w:val="en-US" w:eastAsia="zh-CN"/>
        </w:rPr>
        <w:t>支</w:t>
      </w:r>
      <w:r>
        <w:rPr>
          <w:rFonts w:hint="eastAsia" w:hAnsi="宋体" w:cs="宋体"/>
          <w:kern w:val="0"/>
          <w:sz w:val="24"/>
          <w:lang w:val="en-US" w:eastAsia="zh-CN"/>
        </w:rPr>
        <w:t>付</w:t>
      </w:r>
      <w:r>
        <w:rPr>
          <w:rFonts w:hint="eastAsia" w:cs="宋体"/>
          <w:kern w:val="0"/>
          <w:sz w:val="24"/>
          <w:lang w:eastAsia="zh-CN"/>
        </w:rPr>
        <w:t>剩余</w:t>
      </w:r>
      <w:r>
        <w:rPr>
          <w:rFonts w:hint="eastAsia" w:cs="宋体"/>
          <w:kern w:val="0"/>
          <w:sz w:val="24"/>
          <w:lang w:val="en-US" w:eastAsia="zh-CN"/>
        </w:rPr>
        <w:t>1</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1、乙方按照甲方的要求把产品送至指定位置。</w:t>
      </w:r>
    </w:p>
    <w:p>
      <w:pPr>
        <w:pStyle w:val="6"/>
        <w:spacing w:line="500" w:lineRule="exact"/>
        <w:ind w:firstLine="480"/>
        <w:rPr>
          <w:rFonts w:hint="eastAsia" w:ascii="宋体" w:hAnsi="宋体" w:cs="宋体"/>
          <w:b w:val="0"/>
          <w:color w:val="auto"/>
          <w:kern w:val="2"/>
          <w:sz w:val="30"/>
          <w:szCs w:val="30"/>
          <w:lang w:val="en-US" w:eastAsia="zh-CN" w:bidi="ar-SA"/>
        </w:rPr>
      </w:pPr>
      <w:r>
        <w:rPr>
          <w:rFonts w:hint="eastAsia" w:ascii="宋体" w:hAnsi="宋体" w:eastAsia="宋体" w:cs="宋体"/>
          <w:color w:val="auto"/>
          <w:highlight w:val="none"/>
          <w:lang w:val="en-US" w:eastAsia="zh-CN"/>
        </w:rPr>
        <w:t>2、乙方保证该产品运输、安装等安全，并且按时保质完工。</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6"/>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w:t>
      </w:r>
      <w:r>
        <w:rPr>
          <w:rFonts w:hint="eastAsia" w:hAnsi="宋体" w:cs="宋体"/>
          <w:kern w:val="0"/>
          <w:sz w:val="24"/>
          <w:lang w:val="en-US" w:eastAsia="zh-CN"/>
        </w:rPr>
        <w:t>0</w:t>
      </w:r>
      <w:r>
        <w:rPr>
          <w:rFonts w:hint="eastAsia" w:hAnsi="宋体" w:cs="宋体"/>
          <w:kern w:val="0"/>
          <w:sz w:val="24"/>
        </w:rPr>
        <w:t>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16"/>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rPr>
          <w:rFonts w:hint="eastAsia"/>
          <w:sz w:val="24"/>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p>
    <w:bookmarkEnd w:id="23"/>
    <w:bookmarkEnd w:id="24"/>
    <w:bookmarkEnd w:id="25"/>
    <w:p>
      <w:pPr>
        <w:pStyle w:val="3"/>
        <w:keepNext w:val="0"/>
        <w:keepLines w:val="0"/>
        <w:spacing w:before="0" w:after="0" w:line="500" w:lineRule="exact"/>
        <w:jc w:val="center"/>
        <w:rPr>
          <w:rFonts w:hint="eastAsia"/>
          <w:b/>
          <w:sz w:val="32"/>
          <w:szCs w:val="32"/>
          <w:lang w:eastAsia="zh-CN"/>
        </w:rPr>
      </w:pPr>
    </w:p>
    <w:p>
      <w:pPr>
        <w:pStyle w:val="3"/>
        <w:keepNext w:val="0"/>
        <w:keepLines w:val="0"/>
        <w:spacing w:before="0" w:after="0" w:line="500" w:lineRule="exact"/>
        <w:jc w:val="center"/>
        <w:rPr>
          <w:rFonts w:hint="eastAsia"/>
          <w:b/>
          <w:sz w:val="32"/>
          <w:szCs w:val="32"/>
          <w:lang w:eastAsia="zh-CN"/>
        </w:rPr>
      </w:pPr>
    </w:p>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49810624"/>
      <w:bookmarkStart w:id="31" w:name="_Toc350864527"/>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52C11"/>
    <w:multiLevelType w:val="singleLevel"/>
    <w:tmpl w:val="B1B52C11"/>
    <w:lvl w:ilvl="0" w:tentative="0">
      <w:start w:val="1"/>
      <w:numFmt w:val="decimal"/>
      <w:suff w:val="space"/>
      <w:lvlText w:val="%1."/>
      <w:lvlJc w:val="left"/>
      <w:pPr>
        <w:ind w:left="450" w:leftChars="0" w:firstLine="0" w:firstLineChars="0"/>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30005B4D"/>
    <w:multiLevelType w:val="singleLevel"/>
    <w:tmpl w:val="30005B4D"/>
    <w:lvl w:ilvl="0" w:tentative="0">
      <w:start w:val="1"/>
      <w:numFmt w:val="chineseCounting"/>
      <w:suff w:val="nothing"/>
      <w:lvlText w:val="（%1）"/>
      <w:lvlJc w:val="left"/>
      <w:rPr>
        <w:rFonts w:hint="eastAsia"/>
      </w:rPr>
    </w:lvl>
  </w:abstractNum>
  <w:abstractNum w:abstractNumId="3">
    <w:nsid w:val="46182481"/>
    <w:multiLevelType w:val="singleLevel"/>
    <w:tmpl w:val="46182481"/>
    <w:lvl w:ilvl="0" w:tentative="0">
      <w:start w:val="3"/>
      <w:numFmt w:val="chineseCounting"/>
      <w:suff w:val="nothing"/>
      <w:lvlText w:val="%1、"/>
      <w:lvlJc w:val="left"/>
      <w:rPr>
        <w:rFonts w:hint="eastAsia"/>
      </w:r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abstractNum w:abstractNumId="7">
    <w:nsid w:val="7DF30F2D"/>
    <w:multiLevelType w:val="singleLevel"/>
    <w:tmpl w:val="7DF30F2D"/>
    <w:lvl w:ilvl="0" w:tentative="0">
      <w:start w:val="2"/>
      <w:numFmt w:val="chineseCounting"/>
      <w:suff w:val="nothing"/>
      <w:lvlText w:val="%1、"/>
      <w:lvlJc w:val="left"/>
      <w:rPr>
        <w:rFonts w:hint="eastAsia"/>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2C54A78"/>
    <w:rsid w:val="0398300A"/>
    <w:rsid w:val="03B51295"/>
    <w:rsid w:val="047D0B61"/>
    <w:rsid w:val="04A56D22"/>
    <w:rsid w:val="08404F36"/>
    <w:rsid w:val="08E71842"/>
    <w:rsid w:val="0AD22B0E"/>
    <w:rsid w:val="0C0A4D44"/>
    <w:rsid w:val="0C130EFC"/>
    <w:rsid w:val="0C6A7EAB"/>
    <w:rsid w:val="10174669"/>
    <w:rsid w:val="10B226E1"/>
    <w:rsid w:val="11830B72"/>
    <w:rsid w:val="1383036E"/>
    <w:rsid w:val="15233F52"/>
    <w:rsid w:val="16BD4DC5"/>
    <w:rsid w:val="172C1B8A"/>
    <w:rsid w:val="18A652CB"/>
    <w:rsid w:val="1A6E1B1A"/>
    <w:rsid w:val="1BD7243B"/>
    <w:rsid w:val="1CFF29F6"/>
    <w:rsid w:val="1D384C6E"/>
    <w:rsid w:val="1D920941"/>
    <w:rsid w:val="1E956EB2"/>
    <w:rsid w:val="1F101A43"/>
    <w:rsid w:val="1FE43AF7"/>
    <w:rsid w:val="205058A7"/>
    <w:rsid w:val="222E012F"/>
    <w:rsid w:val="24BC441B"/>
    <w:rsid w:val="259801CB"/>
    <w:rsid w:val="2BAF3823"/>
    <w:rsid w:val="2C5867E5"/>
    <w:rsid w:val="2CFD602C"/>
    <w:rsid w:val="2DBA37B3"/>
    <w:rsid w:val="2DF25AF7"/>
    <w:rsid w:val="2F4A3E20"/>
    <w:rsid w:val="32415C43"/>
    <w:rsid w:val="329D75BD"/>
    <w:rsid w:val="34B03568"/>
    <w:rsid w:val="3516357D"/>
    <w:rsid w:val="39020526"/>
    <w:rsid w:val="3924748A"/>
    <w:rsid w:val="3EC84C50"/>
    <w:rsid w:val="3FDD1625"/>
    <w:rsid w:val="42E51925"/>
    <w:rsid w:val="43680D36"/>
    <w:rsid w:val="43C36BBC"/>
    <w:rsid w:val="44355B03"/>
    <w:rsid w:val="44C47DD0"/>
    <w:rsid w:val="44E71387"/>
    <w:rsid w:val="45AB4CC4"/>
    <w:rsid w:val="476C0F8C"/>
    <w:rsid w:val="48591532"/>
    <w:rsid w:val="4AE905BD"/>
    <w:rsid w:val="4D3F2ADF"/>
    <w:rsid w:val="4D7868F5"/>
    <w:rsid w:val="4EC400D5"/>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91436BF"/>
    <w:rsid w:val="7A63359F"/>
    <w:rsid w:val="7B1D3DDF"/>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19582</Words>
  <Characters>20480</Characters>
  <Lines>0</Lines>
  <Paragraphs>0</Paragraphs>
  <TotalTime>55</TotalTime>
  <ScaleCrop>false</ScaleCrop>
  <LinksUpToDate>false</LinksUpToDate>
  <CharactersWithSpaces>21638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2022-09-06T02:46:07Z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1EBEFAF968854A21B9315A7FE5017079</vt:lpwstr>
  </property>
  <property fmtid="{D5CDD505-2E9C-101B-9397-08002B2CF9AE}" pid="4" name="commondata">
    <vt:lpwstr>eyJoZGlkIjoiYjI4ZTRmYjVlYzNkNTI0ODRlNjM3ODNhMDNlNmUwYmQifQ==</vt:lpwstr>
  </property>
</Properties>
</file>