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采[2022]51-2</w:t>
      </w:r>
      <w:r>
        <w:rPr>
          <w:rFonts w:hint="eastAsia" w:ascii="宋体"/>
          <w:b/>
          <w:sz w:val="30"/>
          <w:szCs w:val="30"/>
          <w:lang w:eastAsia="zh-CN"/>
        </w:rPr>
        <w:t>号</w:t>
      </w:r>
    </w:p>
    <w:p>
      <w:pPr>
        <w:jc w:val="center"/>
        <w:rPr>
          <w:rFonts w:hint="eastAsia"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住院综合楼双电源转换柜</w:t>
      </w:r>
    </w:p>
    <w:p>
      <w:pPr>
        <w:jc w:val="center"/>
        <w:rPr>
          <w:rFonts w:hint="eastAsia" w:ascii="宋体"/>
          <w:b/>
          <w:w w:val="90"/>
          <w:sz w:val="44"/>
          <w:szCs w:val="44"/>
          <w:lang w:eastAsia="zh-CN"/>
        </w:rPr>
      </w:pPr>
      <w:r>
        <w:rPr>
          <w:rFonts w:hint="eastAsia" w:ascii="宋体"/>
          <w:b/>
          <w:color w:val="auto"/>
          <w:w w:val="90"/>
          <w:sz w:val="44"/>
          <w:szCs w:val="44"/>
          <w:lang w:eastAsia="zh-CN"/>
        </w:rPr>
        <w:t>采</w:t>
      </w:r>
      <w:r>
        <w:rPr>
          <w:rFonts w:hint="eastAsia" w:ascii="宋体"/>
          <w:b/>
          <w:w w:val="90"/>
          <w:sz w:val="44"/>
          <w:szCs w:val="44"/>
          <w:lang w:eastAsia="zh-CN"/>
        </w:rPr>
        <w:t>购项目（第二次）</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8</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采[2022]51-2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邻水县人民医院住院综合楼</w:t>
      </w:r>
      <w:r>
        <w:rPr>
          <w:rFonts w:hint="eastAsia" w:ascii="宋体" w:hAnsi="宋体" w:cs="宋体"/>
          <w:color w:val="000000"/>
          <w:kern w:val="0"/>
          <w:sz w:val="24"/>
          <w:szCs w:val="24"/>
          <w:lang w:val="en-US" w:eastAsia="zh-CN" w:bidi="ar"/>
        </w:rPr>
        <w:t>双电源转换柜</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18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17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1、具有独立承担民事责任的能力：</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投标人为企业（包括合伙企业）、个体工商户的提供工商营业执照、税务登记和组织机构代码证或提供由工商行政管理部门核发的法人和其他组织统一社会信用代码的营业执照（营业执照内容需与本项目相关）（复印件盖鲜章）；</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2、具有良好的商业信誉：供应商具有良好的商业信誉，并承诺在规定时间内提供货物的能力；</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3、具有履行合同所必须的设备和专业技术能力；供应商在参加政府采购活动时做出承诺，详见：承诺函。</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4、具有依法缴纳税收和社会保障资金的良好记录；</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5、参加本次政府采购活动前三年内，在经营活动中没有重大违法违规记录；</w:t>
      </w:r>
    </w:p>
    <w:p>
      <w:pPr>
        <w:pStyle w:val="21"/>
        <w:spacing w:line="440" w:lineRule="exact"/>
        <w:rPr>
          <w:rFonts w:hint="eastAsia"/>
          <w:lang w:val="en-US" w:eastAsia="zh-CN"/>
        </w:rPr>
      </w:pPr>
      <w:r>
        <w:rPr>
          <w:rFonts w:hint="eastAsia" w:ascii="宋体" w:hAnsi="宋体" w:eastAsia="宋体" w:cs="Times New Roman"/>
          <w:kern w:val="2"/>
          <w:sz w:val="24"/>
          <w:szCs w:val="24"/>
          <w:lang w:val="en-US" w:eastAsia="zh-CN" w:bidi="ar-SA"/>
        </w:rPr>
        <w:t>6</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法律、行政法规规定的其他条件</w:t>
      </w:r>
      <w:r>
        <w:rPr>
          <w:rFonts w:hint="eastAsia" w:ascii="宋体" w:hAnsi="宋体" w:cs="Times New Roman"/>
          <w:kern w:val="2"/>
          <w:sz w:val="24"/>
          <w:szCs w:val="24"/>
          <w:lang w:val="en-US" w:eastAsia="zh-CN" w:bidi="ar-SA"/>
        </w:rPr>
        <w:t>；</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7、项目特殊资格要求（电力设施销售、生产方面）：</w:t>
      </w:r>
    </w:p>
    <w:p>
      <w:pPr>
        <w:spacing w:line="440" w:lineRule="exact"/>
        <w:ind w:firstLine="480" w:firstLineChars="200"/>
        <w:rPr>
          <w:rFonts w:hint="eastAsia" w:ascii="宋体" w:hAnsi="宋体" w:eastAsia="宋体" w:cs="宋体"/>
          <w:b w:val="0"/>
          <w:color w:val="auto"/>
          <w:kern w:val="2"/>
          <w:sz w:val="30"/>
          <w:szCs w:val="30"/>
          <w:lang w:val="en-US" w:eastAsia="zh-CN" w:bidi="ar-SA"/>
        </w:rPr>
      </w:pPr>
      <w:r>
        <w:rPr>
          <w:rFonts w:hint="eastAsia" w:ascii="宋体" w:hAnsi="宋体"/>
          <w:sz w:val="24"/>
          <w:szCs w:val="28"/>
          <w:lang w:val="en-US" w:eastAsia="zh-CN"/>
        </w:rPr>
        <w:t>提供电力设施及销售经营企业许可证明（或委托销售证明）或电力设施及制造许可证复印件。经营或生产范围与投标产品类别一致，投标时需提供CCC检查报告以满足资格审查。</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8</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25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8</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29 </w:t>
      </w:r>
      <w:r>
        <w:rPr>
          <w:rFonts w:hint="eastAsia" w:ascii="宋体" w:hAnsi="宋体"/>
          <w:color w:val="auto"/>
          <w:sz w:val="24"/>
        </w:rPr>
        <w:t>日</w:t>
      </w:r>
      <w:r>
        <w:rPr>
          <w:rFonts w:hint="eastAsia" w:ascii="宋体" w:hAnsi="宋体"/>
          <w:color w:val="auto"/>
          <w:sz w:val="24"/>
          <w:lang w:val="en-US" w:eastAsia="zh-CN"/>
        </w:rPr>
        <w:t>18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8 </w:t>
      </w:r>
      <w:r>
        <w:rPr>
          <w:rFonts w:hint="eastAsia" w:ascii="宋体" w:hAnsi="宋体" w:cs="宋体"/>
          <w:b/>
          <w:color w:val="auto"/>
          <w:sz w:val="24"/>
        </w:rPr>
        <w:t>月</w:t>
      </w:r>
      <w:r>
        <w:rPr>
          <w:rFonts w:hint="eastAsia" w:ascii="宋体" w:hAnsi="宋体" w:cs="宋体"/>
          <w:b/>
          <w:color w:val="auto"/>
          <w:sz w:val="24"/>
          <w:lang w:val="en-US" w:eastAsia="zh-CN"/>
        </w:rPr>
        <w:t xml:space="preserve"> 30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8</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30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15：00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8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30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魏老师</w:t>
      </w:r>
      <w:r>
        <w:rPr>
          <w:rFonts w:hint="eastAsia"/>
          <w:sz w:val="24"/>
          <w:lang w:val="en-US" w:eastAsia="zh-CN"/>
        </w:rPr>
        <w:t xml:space="preserve">                   李老师        </w:t>
      </w:r>
      <w:r>
        <w:rPr>
          <w:rFonts w:hint="eastAsia"/>
          <w:sz w:val="24"/>
          <w:lang w:val="en-US" w:eastAsia="zh-CN"/>
        </w:rPr>
        <w:tab/>
      </w:r>
    </w:p>
    <w:p>
      <w:pPr>
        <w:pStyle w:val="21"/>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13882615861              15700534589</w:t>
      </w:r>
    </w:p>
    <w:p>
      <w:pPr>
        <w:pStyle w:val="21"/>
        <w:spacing w:line="440" w:lineRule="exact"/>
        <w:ind w:firstLine="1200" w:firstLineChars="500"/>
        <w:rPr>
          <w:rFonts w:hint="default"/>
          <w:sz w:val="24"/>
          <w:lang w:val="en-US" w:eastAsia="zh-CN"/>
        </w:rPr>
      </w:pPr>
      <w:bookmarkStart w:id="34" w:name="_GoBack"/>
      <w:bookmarkEnd w:id="34"/>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8</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2"/>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2"/>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2"/>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2"/>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2"/>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2"/>
              <w:ind w:firstLine="210" w:firstLineChars="1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2"/>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5215"/>
      <w:bookmarkStart w:id="7" w:name="_Toc24295"/>
      <w:bookmarkStart w:id="8" w:name="_Toc17067"/>
      <w:bookmarkStart w:id="9" w:name="_Toc31240"/>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3"/>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101174151"/>
      <w:bookmarkStart w:id="14" w:name="_Toc101250646"/>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bidi w:val="0"/>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、项目特殊资格要求（电力设施销售、生产方面）：</w:t>
      </w:r>
    </w:p>
    <w:p>
      <w:pPr>
        <w:spacing w:line="5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提供电力设施及销售经营企业许可证明（或委托销售证明）或电力设施及制造许可证复印件。经营或生产范围与投标产品类别一致，投标时需提供CCC检查报告以满足资格审查。</w:t>
      </w:r>
    </w:p>
    <w:p>
      <w:pPr>
        <w:pStyle w:val="3"/>
        <w:rPr>
          <w:rFonts w:hint="eastAsia"/>
        </w:rPr>
      </w:pP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217446056"/>
      <w:bookmarkStart w:id="18" w:name="_Toc183682368"/>
      <w:bookmarkStart w:id="19" w:name="_Toc183582231"/>
      <w:bookmarkStart w:id="20" w:name="_Toc77400782"/>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邻水县人民医院住院综合楼</w:t>
      </w:r>
      <w:r>
        <w:rPr>
          <w:rFonts w:hint="eastAsia" w:cs="宋体"/>
          <w:color w:val="auto"/>
          <w:kern w:val="2"/>
          <w:sz w:val="24"/>
          <w:szCs w:val="24"/>
          <w:lang w:val="en-US" w:eastAsia="zh-CN" w:bidi="ar-SA"/>
        </w:rPr>
        <w:t>双电源转换柜</w:t>
      </w:r>
      <w:r>
        <w:rPr>
          <w:rFonts w:hint="eastAsia" w:ascii="宋体" w:hAnsi="宋体" w:eastAsia="宋体" w:cs="宋体"/>
          <w:color w:val="auto"/>
          <w:kern w:val="2"/>
          <w:sz w:val="24"/>
          <w:szCs w:val="24"/>
          <w:lang w:val="en-US" w:eastAsia="zh-CN" w:bidi="ar-SA"/>
        </w:rPr>
        <w:t>采购项目：按照县供电局对邻水县人民医院住院综合楼供电优化意见，住院综合楼照明、插座需双电源供电。为此需采购</w:t>
      </w:r>
      <w:r>
        <w:rPr>
          <w:rFonts w:hint="eastAsia" w:cs="宋体"/>
          <w:color w:val="auto"/>
          <w:kern w:val="2"/>
          <w:sz w:val="24"/>
          <w:szCs w:val="24"/>
          <w:lang w:val="en-US" w:eastAsia="zh-CN" w:bidi="ar-SA"/>
        </w:rPr>
        <w:t>双电源转换柜</w:t>
      </w:r>
      <w:r>
        <w:rPr>
          <w:rFonts w:hint="eastAsia" w:ascii="宋体" w:hAnsi="宋体" w:eastAsia="宋体" w:cs="宋体"/>
          <w:color w:val="auto"/>
          <w:kern w:val="2"/>
          <w:sz w:val="24"/>
          <w:szCs w:val="24"/>
          <w:lang w:val="en-US" w:eastAsia="zh-CN" w:bidi="ar-SA"/>
        </w:rPr>
        <w:t>及连接辅件，在原配电系统基础上安装完善，以便紧急情况下通电后正常使用，满足各科室供电及使用需求。</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400"/>
        <w:gridCol w:w="1890"/>
        <w:gridCol w:w="780"/>
        <w:gridCol w:w="8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22"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2400"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项目名称</w:t>
            </w:r>
          </w:p>
        </w:tc>
        <w:tc>
          <w:tcPr>
            <w:tcW w:w="1890"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规格型号</w:t>
            </w:r>
          </w:p>
        </w:tc>
        <w:tc>
          <w:tcPr>
            <w:tcW w:w="780"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w:t>
            </w:r>
          </w:p>
        </w:tc>
        <w:tc>
          <w:tcPr>
            <w:tcW w:w="840"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数量</w:t>
            </w:r>
          </w:p>
        </w:tc>
        <w:tc>
          <w:tcPr>
            <w:tcW w:w="1706"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低压联络柜</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GCS</w:t>
            </w:r>
          </w:p>
        </w:tc>
        <w:tc>
          <w:tcPr>
            <w:tcW w:w="78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低压</w:t>
            </w:r>
            <w:r>
              <w:rPr>
                <w:rFonts w:hint="eastAsia" w:ascii="宋体" w:hAnsi="宋体" w:cs="宋体"/>
                <w:color w:val="auto"/>
                <w:kern w:val="2"/>
                <w:sz w:val="24"/>
                <w:szCs w:val="24"/>
                <w:lang w:val="en-US" w:eastAsia="zh-CN" w:bidi="ar-SA"/>
              </w:rPr>
              <w:t>双电源转换柜</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GCS</w:t>
            </w:r>
          </w:p>
        </w:tc>
        <w:tc>
          <w:tcPr>
            <w:tcW w:w="78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密集母线槽</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1250A/4P</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米</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6.5</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100*6单排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密集母线槽</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2500A/4P</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米</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6.5</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120*6双排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连接器</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1250A</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100*6单排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连接器</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2500A</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120*6双排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顶箱</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母线槽弯头</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1250A/4P</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100*6单排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母线槽弯头</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2500A/4P</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120*6双排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240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连接铜排</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TMY-80*8</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米</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异形考察制作80*8单排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连接铜排</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TMY-100*10</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米</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异形考察制作100*10双排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吊架</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辅材</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含螺栓，绝缘子，镀锡液，热缩套管、电源柜基座（槽钢）等</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38" w:type="dxa"/>
            <w:gridSpan w:val="6"/>
            <w:shd w:val="clear" w:color="auto" w:fill="auto"/>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注：以上母线为耐火封闭型母线铜排，包括柜、箱开孔、铜排开孔等安装及吊装。</w:t>
            </w:r>
          </w:p>
        </w:tc>
      </w:tr>
    </w:tbl>
    <w:p>
      <w:pPr>
        <w:pStyle w:val="5"/>
        <w:spacing w:line="400" w:lineRule="exact"/>
        <w:ind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三、项目要求</w:t>
      </w:r>
    </w:p>
    <w:p>
      <w:pPr>
        <w:pStyle w:val="7"/>
        <w:numPr>
          <w:ilvl w:val="0"/>
          <w:numId w:val="0"/>
        </w:numPr>
        <w:ind w:firstLine="482" w:firstLineChars="200"/>
        <w:rPr>
          <w:rFonts w:hint="eastAsia" w:ascii="宋体" w:hAnsi="宋体" w:eastAsia="宋体" w:cs="宋体"/>
          <w:b/>
          <w:bCs/>
          <w:color w:val="auto"/>
          <w:kern w:val="2"/>
          <w:sz w:val="24"/>
          <w:szCs w:val="24"/>
          <w:lang w:val="en-US" w:eastAsia="zh-CN" w:bidi="ar-SA"/>
        </w:rPr>
      </w:pPr>
      <w:r>
        <w:rPr>
          <w:rFonts w:hint="eastAsia" w:cs="宋体"/>
          <w:b/>
          <w:bCs/>
          <w:color w:val="auto"/>
          <w:kern w:val="2"/>
          <w:sz w:val="24"/>
          <w:szCs w:val="24"/>
          <w:lang w:val="en-US" w:eastAsia="zh-CN" w:bidi="ar-SA"/>
        </w:rPr>
        <w:t>（一）</w:t>
      </w:r>
      <w:r>
        <w:rPr>
          <w:rFonts w:hint="eastAsia" w:ascii="宋体" w:hAnsi="宋体" w:eastAsia="宋体" w:cs="宋体"/>
          <w:b/>
          <w:bCs/>
          <w:color w:val="auto"/>
          <w:kern w:val="2"/>
          <w:sz w:val="24"/>
          <w:szCs w:val="24"/>
          <w:lang w:val="en-US" w:eastAsia="zh-CN" w:bidi="ar-SA"/>
        </w:rPr>
        <w:t>技术参数：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低压联络柜：</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宽*高*深 800*2200*800，厚度≧2毫米，万能式断路器（抽屉式）2500A/4P,100*10双排，含箱内辅材配件，基础，安装。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低压</w:t>
      </w:r>
      <w:r>
        <w:rPr>
          <w:rFonts w:hint="eastAsia" w:cs="宋体"/>
          <w:color w:val="auto"/>
          <w:kern w:val="2"/>
          <w:sz w:val="24"/>
          <w:szCs w:val="24"/>
          <w:lang w:val="en-US" w:eastAsia="zh-CN" w:bidi="ar-SA"/>
        </w:rPr>
        <w:t>双电源转换柜</w:t>
      </w:r>
      <w:r>
        <w:rPr>
          <w:rFonts w:hint="eastAsia" w:ascii="宋体" w:hAnsi="宋体" w:eastAsia="宋体" w:cs="宋体"/>
          <w:color w:val="auto"/>
          <w:kern w:val="2"/>
          <w:sz w:val="24"/>
          <w:szCs w:val="24"/>
          <w:lang w:val="en-US" w:eastAsia="zh-CN" w:bidi="ar-SA"/>
        </w:rPr>
        <w:t>：</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宽*高*深 800*2200*800，厚度≧2毫米，负荷隔离开关1250A/4P,双电源转换开关1250A/4P,80*8单排，含箱内配件，基础，安装，连接等。</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密集母线槽：</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耐火封闭母线槽（1250A/4铜排）100*6单排（A\B\C\N，包括柜、箱开孔、铜排开孔安装及吊装）。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耐火封闭母线槽（2500A/4铜排）120*6双排（A\B\C\N，包括柜、箱开孔、铜排开孔安装及吊装）。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连接器：</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1250A，100*6铜排单排，耐火封闭型，（A\B\C\N，包括柜、箱开孔、铜排开孔安装及吊装）。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2500A，120*10铜排双排，耐火封闭型，（A\B\C\N，包括柜、箱开孔、铜排开孔安装及吊装）。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顶箱：厚度≧1.5毫米 尺寸根据现场实际情况订制</w:t>
      </w:r>
      <w:r>
        <w:rPr>
          <w:rFonts w:hint="eastAsia" w:cs="宋体"/>
          <w:color w:val="auto"/>
          <w:kern w:val="2"/>
          <w:sz w:val="24"/>
          <w:szCs w:val="24"/>
          <w:lang w:val="en-US" w:eastAsia="zh-CN" w:bidi="ar-SA"/>
        </w:rPr>
        <w:t>。</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母线槽弯头：</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耐火封闭（1250A/4P铜排）100*6单排（A\B\C\N，包括柜、箱开孔、铜排开孔安装及吊装）。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耐火封闭（2500A/4P铜排）120*6双排（A\B\C\N，包括柜、箱开孔、铜排开孔安装及吊装）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连接铜排</w:t>
      </w:r>
      <w:r>
        <w:rPr>
          <w:rFonts w:hint="eastAsia" w:cs="宋体"/>
          <w:color w:val="auto"/>
          <w:kern w:val="2"/>
          <w:sz w:val="24"/>
          <w:szCs w:val="24"/>
          <w:lang w:val="en-US" w:eastAsia="zh-CN" w:bidi="ar-SA"/>
        </w:rPr>
        <w:t>：</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连接铜排：异形考察制作，1250A/4P，80*8铜排单排，耐火封闭型，（A\B\C\N，包括柜、箱开孔、铜排开孔安装及吊装）。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连接铜排：异形考察制作，2500A/4P，100*10铜排双排，耐火封闭型，（A\B\C\N，包括柜、箱开孔、铜排开孔安装及吊装）。</w:t>
      </w:r>
    </w:p>
    <w:p>
      <w:pPr>
        <w:pStyle w:val="7"/>
        <w:numPr>
          <w:ilvl w:val="0"/>
          <w:numId w:val="0"/>
        </w:numPr>
        <w:ind w:firstLine="480" w:firstLineChars="200"/>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吊架：根据现场实际情况制作</w:t>
      </w:r>
      <w:r>
        <w:rPr>
          <w:rFonts w:hint="eastAsia" w:cs="宋体"/>
          <w:color w:val="auto"/>
          <w:kern w:val="2"/>
          <w:sz w:val="24"/>
          <w:szCs w:val="24"/>
          <w:lang w:val="en-US" w:eastAsia="zh-CN" w:bidi="ar-SA"/>
        </w:rPr>
        <w:t>。</w:t>
      </w:r>
    </w:p>
    <w:p>
      <w:pPr>
        <w:pStyle w:val="7"/>
        <w:numPr>
          <w:ilvl w:val="0"/>
          <w:numId w:val="0"/>
        </w:numPr>
        <w:ind w:firstLine="480" w:firstLineChars="200"/>
        <w:rPr>
          <w:rFonts w:hint="eastAsia" w:cs="宋体"/>
          <w:color w:val="auto"/>
          <w:kern w:val="2"/>
          <w:sz w:val="24"/>
          <w:szCs w:val="24"/>
          <w:lang w:val="en-US" w:eastAsia="zh-CN" w:bidi="ar-SA"/>
        </w:rPr>
      </w:pPr>
      <w:r>
        <w:rPr>
          <w:rFonts w:hint="eastAsia"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辅材：含螺栓，绝缘子，镀锡液，热缩套管等</w:t>
      </w:r>
      <w:r>
        <w:rPr>
          <w:rFonts w:hint="eastAsia" w:cs="宋体"/>
          <w:color w:val="auto"/>
          <w:kern w:val="2"/>
          <w:sz w:val="24"/>
          <w:szCs w:val="24"/>
          <w:lang w:val="en-US" w:eastAsia="zh-CN" w:bidi="ar-SA"/>
        </w:rPr>
        <w:t>。</w:t>
      </w:r>
    </w:p>
    <w:p>
      <w:pPr>
        <w:pStyle w:val="7"/>
        <w:numPr>
          <w:ilvl w:val="0"/>
          <w:numId w:val="0"/>
        </w:numPr>
        <w:ind w:firstLine="480" w:firstLineChars="200"/>
        <w:rPr>
          <w:rFonts w:hint="eastAsia" w:cs="宋体"/>
          <w:color w:val="auto"/>
          <w:kern w:val="2"/>
          <w:sz w:val="24"/>
          <w:szCs w:val="24"/>
          <w:lang w:val="en-US" w:eastAsia="zh-CN" w:bidi="ar-SA"/>
        </w:rPr>
      </w:pPr>
    </w:p>
    <w:p>
      <w:pPr>
        <w:pStyle w:val="7"/>
        <w:numPr>
          <w:ilvl w:val="0"/>
          <w:numId w:val="4"/>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服务要求</w:t>
      </w:r>
    </w:p>
    <w:p>
      <w:pPr>
        <w:pStyle w:val="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采购标</w:t>
      </w:r>
      <w:r>
        <w:rPr>
          <w:rFonts w:hint="eastAsia" w:cs="宋体"/>
          <w:color w:val="auto"/>
          <w:sz w:val="24"/>
          <w:szCs w:val="24"/>
          <w:lang w:val="en-US" w:eastAsia="zh-CN"/>
        </w:rPr>
        <w:t>的</w:t>
      </w:r>
      <w:r>
        <w:rPr>
          <w:rFonts w:hint="eastAsia" w:ascii="宋体" w:hAnsi="宋体" w:eastAsia="宋体" w:cs="宋体"/>
          <w:color w:val="auto"/>
          <w:sz w:val="24"/>
          <w:szCs w:val="24"/>
          <w:lang w:val="en-US" w:eastAsia="zh-CN"/>
        </w:rPr>
        <w:t>需满足质保期1年（含）</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1、采购项目货物交付时间为：签订合同后产品7个工作日内送交货物并开始安装（安装时间不超过5个自然日）。</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的要求进行验收，验收货物</w:t>
      </w:r>
      <w:r>
        <w:rPr>
          <w:rFonts w:hint="eastAsia" w:ascii="宋体" w:hAnsi="宋体" w:cs="宋体"/>
          <w:color w:val="auto"/>
          <w:sz w:val="24"/>
          <w:szCs w:val="24"/>
          <w:lang w:val="en-US" w:eastAsia="zh-CN"/>
        </w:rPr>
        <w:t>必须与投标文件应答的配置和技术参数一致</w:t>
      </w:r>
      <w:r>
        <w:rPr>
          <w:rFonts w:hint="eastAsia" w:ascii="宋体" w:hAnsi="宋体" w:cs="宋体"/>
          <w:b w:val="0"/>
          <w:color w:val="auto"/>
          <w:kern w:val="2"/>
          <w:sz w:val="30"/>
          <w:szCs w:val="30"/>
          <w:lang w:val="en-US" w:eastAsia="zh-CN" w:bidi="ar-SA"/>
        </w:rPr>
        <w:t>，</w:t>
      </w:r>
      <w:r>
        <w:rPr>
          <w:rFonts w:hint="eastAsia" w:ascii="宋体" w:hAnsi="宋体" w:cs="宋体"/>
          <w:color w:val="auto"/>
          <w:sz w:val="24"/>
          <w:szCs w:val="24"/>
          <w:lang w:val="en-US" w:eastAsia="zh-CN"/>
        </w:rPr>
        <w:t>必须属国标CCC认证的正规产品。</w:t>
      </w:r>
      <w:r>
        <w:rPr>
          <w:rFonts w:hint="eastAsia" w:cs="宋体"/>
          <w:color w:val="auto"/>
          <w:sz w:val="24"/>
          <w:szCs w:val="24"/>
          <w:lang w:val="en-US" w:eastAsia="zh-CN"/>
        </w:rPr>
        <w:t>不得拒绝社会监督。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4、付款方式：安装完毕验收合格后15日内支付成交价的97％,验收合格6个月后支付剩余3％。</w:t>
      </w:r>
    </w:p>
    <w:p>
      <w:pPr>
        <w:pStyle w:val="7"/>
        <w:ind w:firstLine="482"/>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cs="Times New Roman"/>
          <w:b/>
          <w:bCs/>
          <w:color w:val="auto"/>
          <w:kern w:val="2"/>
          <w:sz w:val="24"/>
          <w:szCs w:val="24"/>
          <w:lang w:val="en-US" w:eastAsia="zh-CN" w:bidi="ar-SA"/>
        </w:rPr>
        <w:t>（四）</w:t>
      </w:r>
      <w:r>
        <w:rPr>
          <w:rFonts w:hint="eastAsia" w:ascii="Times New Roman" w:hAnsi="Times New Roman" w:eastAsia="宋体" w:cs="Times New Roman"/>
          <w:b/>
          <w:bCs/>
          <w:color w:val="auto"/>
          <w:kern w:val="2"/>
          <w:sz w:val="24"/>
          <w:szCs w:val="24"/>
          <w:lang w:val="en-US" w:eastAsia="zh-CN" w:bidi="ar-SA"/>
        </w:rPr>
        <w:t>履约能力要求：</w:t>
      </w:r>
    </w:p>
    <w:p>
      <w:pPr>
        <w:pStyle w:val="7"/>
        <w:spacing w:line="400" w:lineRule="exact"/>
        <w:ind w:left="0" w:leftChars="0" w:firstLine="480" w:firstLineChars="200"/>
        <w:rPr>
          <w:rFonts w:hint="eastAsia" w:ascii="宋体" w:hAnsi="宋体" w:cs="宋体"/>
          <w:color w:val="auto"/>
          <w:sz w:val="24"/>
          <w:szCs w:val="24"/>
          <w:lang w:val="en-US" w:eastAsia="zh-CN"/>
        </w:rPr>
      </w:pPr>
      <w:r>
        <w:rPr>
          <w:rFonts w:hint="eastAsia" w:cs="宋体"/>
          <w:color w:val="auto"/>
          <w:sz w:val="24"/>
          <w:szCs w:val="24"/>
          <w:lang w:val="en-US" w:eastAsia="zh-CN"/>
        </w:rPr>
        <w:t>1、</w:t>
      </w:r>
      <w:r>
        <w:rPr>
          <w:rFonts w:hint="eastAsia" w:ascii="宋体" w:hAnsi="宋体" w:cs="宋体"/>
          <w:color w:val="auto"/>
          <w:sz w:val="24"/>
          <w:szCs w:val="24"/>
          <w:lang w:val="en-US" w:eastAsia="zh-CN"/>
        </w:rPr>
        <w:t>供方根据需方提供的数量运送到需方指定位置。</w:t>
      </w:r>
    </w:p>
    <w:p>
      <w:pPr>
        <w:pStyle w:val="7"/>
        <w:spacing w:line="400" w:lineRule="exact"/>
        <w:ind w:left="0" w:leftChars="0" w:firstLine="480" w:firstLineChars="200"/>
        <w:rPr>
          <w:rFonts w:hint="eastAsia" w:ascii="宋体" w:hAnsi="宋体" w:cs="宋体"/>
          <w:color w:val="auto"/>
          <w:sz w:val="24"/>
          <w:szCs w:val="24"/>
          <w:lang w:val="en-US" w:eastAsia="zh-CN"/>
        </w:rPr>
      </w:pPr>
      <w:r>
        <w:rPr>
          <w:rFonts w:hint="eastAsia" w:cs="宋体"/>
          <w:color w:val="auto"/>
          <w:sz w:val="24"/>
          <w:szCs w:val="24"/>
          <w:lang w:val="en-US" w:eastAsia="zh-CN"/>
        </w:rPr>
        <w:t>2、</w:t>
      </w:r>
      <w:r>
        <w:rPr>
          <w:rFonts w:hint="eastAsia" w:ascii="宋体" w:hAnsi="宋体" w:cs="宋体"/>
          <w:color w:val="auto"/>
          <w:sz w:val="24"/>
          <w:szCs w:val="24"/>
          <w:lang w:val="en-US" w:eastAsia="zh-CN"/>
        </w:rPr>
        <w:t>供方保证所有的材料的运输过程中的安全，并且按时按质按量配送，在规定时间内安装完毕，完善配电系统并通电验收。</w:t>
      </w:r>
    </w:p>
    <w:p>
      <w:pPr>
        <w:pStyle w:val="7"/>
        <w:spacing w:line="400" w:lineRule="exact"/>
        <w:ind w:left="0" w:leftChars="0" w:firstLine="480" w:firstLineChars="200"/>
        <w:rPr>
          <w:rFonts w:hint="eastAsia" w:ascii="宋体" w:hAnsi="宋体" w:cs="宋体"/>
          <w:color w:val="auto"/>
          <w:sz w:val="24"/>
          <w:szCs w:val="24"/>
          <w:lang w:val="en-US" w:eastAsia="zh-CN"/>
        </w:rPr>
      </w:pPr>
      <w:r>
        <w:rPr>
          <w:rFonts w:hint="eastAsia" w:cs="宋体"/>
          <w:color w:val="auto"/>
          <w:sz w:val="24"/>
          <w:szCs w:val="24"/>
          <w:lang w:val="en-US" w:eastAsia="zh-CN"/>
        </w:rPr>
        <w:t>3、</w:t>
      </w:r>
      <w:r>
        <w:rPr>
          <w:rFonts w:hint="eastAsia" w:ascii="宋体" w:hAnsi="宋体" w:cs="宋体"/>
          <w:color w:val="auto"/>
          <w:sz w:val="24"/>
          <w:szCs w:val="24"/>
          <w:lang w:val="en-US" w:eastAsia="zh-CN"/>
        </w:rPr>
        <w:t>供方提供的货物上需印厂家、型号等字样，提供产品合格证供需方存档。</w:t>
      </w:r>
    </w:p>
    <w:p>
      <w:pPr>
        <w:pStyle w:val="7"/>
        <w:spacing w:line="400" w:lineRule="exact"/>
        <w:ind w:left="0" w:leftChars="0" w:firstLine="480" w:firstLineChars="200"/>
        <w:rPr>
          <w:rFonts w:hint="eastAsia"/>
          <w:b w:val="0"/>
          <w:bCs w:val="0"/>
          <w:sz w:val="24"/>
          <w:szCs w:val="24"/>
          <w:lang w:val="en-US" w:eastAsia="zh-CN"/>
        </w:rPr>
      </w:pPr>
      <w:r>
        <w:rPr>
          <w:rFonts w:hint="eastAsia" w:cs="宋体"/>
          <w:color w:val="auto"/>
          <w:sz w:val="24"/>
          <w:szCs w:val="24"/>
          <w:lang w:val="en-US" w:eastAsia="zh-CN"/>
        </w:rPr>
        <w:t>4、</w:t>
      </w:r>
      <w:r>
        <w:rPr>
          <w:rFonts w:hint="eastAsia" w:ascii="宋体" w:hAnsi="宋体" w:cs="宋体"/>
          <w:color w:val="auto"/>
          <w:sz w:val="24"/>
          <w:szCs w:val="24"/>
          <w:lang w:val="en-US" w:eastAsia="zh-CN"/>
        </w:rPr>
        <w:t>需方提供便利的场地堆放，贵重货物供方自行上锁保管直至安装完毕交货。</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eastAsia="宋体"/>
          <w:b/>
          <w:bCs/>
          <w:sz w:val="24"/>
          <w:szCs w:val="24"/>
          <w:lang w:eastAsia="zh-CN"/>
        </w:rPr>
      </w:pPr>
      <w:r>
        <w:rPr>
          <w:rFonts w:hint="eastAsia"/>
          <w:b/>
          <w:bCs/>
          <w:sz w:val="24"/>
          <w:szCs w:val="24"/>
          <w:lang w:val="en-US" w:eastAsia="zh-CN"/>
        </w:rPr>
        <w:t>（五）</w:t>
      </w:r>
      <w:r>
        <w:rPr>
          <w:rFonts w:hint="eastAsia"/>
          <w:b/>
          <w:bCs/>
          <w:sz w:val="24"/>
          <w:szCs w:val="24"/>
        </w:rPr>
        <w:t>其他商务要求</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ind w:firstLine="482"/>
        <w:rPr>
          <w:rFonts w:hint="eastAsia" w:eastAsia="宋体"/>
          <w:lang w:val="en-US" w:eastAsia="zh-CN"/>
        </w:rPr>
      </w:pPr>
      <w:r>
        <w:rPr>
          <w:rFonts w:hint="eastAsia" w:ascii="宋体" w:hAnsi="宋体"/>
          <w:sz w:val="24"/>
          <w:szCs w:val="24"/>
          <w:lang w:val="en-US" w:eastAsia="zh-CN"/>
        </w:rPr>
        <w:t>2、成交供应商提供的货物应为</w:t>
      </w:r>
      <w:r>
        <w:rPr>
          <w:rFonts w:hint="eastAsia" w:ascii="宋体" w:hAnsi="宋体" w:eastAsia="宋体" w:cs="宋体"/>
          <w:b w:val="0"/>
          <w:bCs w:val="0"/>
          <w:kern w:val="2"/>
          <w:sz w:val="24"/>
          <w:szCs w:val="20"/>
          <w:highlight w:val="none"/>
          <w:lang w:val="en-US" w:eastAsia="zh-CN" w:bidi="ar-SA"/>
        </w:rPr>
        <w:t>2020年（含）以后生产的产品。</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3、中标人承担项目实施过程中的一切安全责任和安全费用。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CF8F2"/>
    <w:multiLevelType w:val="singleLevel"/>
    <w:tmpl w:val="96DCF8F2"/>
    <w:lvl w:ilvl="0" w:tentative="0">
      <w:start w:val="2"/>
      <w:numFmt w:val="chineseCounting"/>
      <w:suff w:val="nothing"/>
      <w:lvlText w:val="%1、"/>
      <w:lvlJc w:val="left"/>
      <w:rPr>
        <w:rFonts w:hint="eastAsia"/>
      </w:rPr>
    </w:lvl>
  </w:abstractNum>
  <w:abstractNum w:abstractNumId="1">
    <w:nsid w:val="1DBDECEE"/>
    <w:multiLevelType w:val="singleLevel"/>
    <w:tmpl w:val="1DBDECEE"/>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17A3DF3"/>
    <w:rsid w:val="02BB5D6A"/>
    <w:rsid w:val="04A56D22"/>
    <w:rsid w:val="055661F0"/>
    <w:rsid w:val="069E4015"/>
    <w:rsid w:val="09124A1D"/>
    <w:rsid w:val="0BE1266B"/>
    <w:rsid w:val="0C72629B"/>
    <w:rsid w:val="0CC13D03"/>
    <w:rsid w:val="0D6D5659"/>
    <w:rsid w:val="0F1C1021"/>
    <w:rsid w:val="11C753B0"/>
    <w:rsid w:val="1200267B"/>
    <w:rsid w:val="17214185"/>
    <w:rsid w:val="195A66FF"/>
    <w:rsid w:val="19970C16"/>
    <w:rsid w:val="1C9953D5"/>
    <w:rsid w:val="1CC21F8E"/>
    <w:rsid w:val="1FE43AF7"/>
    <w:rsid w:val="205058A7"/>
    <w:rsid w:val="219D69C5"/>
    <w:rsid w:val="21CC3154"/>
    <w:rsid w:val="247A5319"/>
    <w:rsid w:val="259801CB"/>
    <w:rsid w:val="27DE5B8D"/>
    <w:rsid w:val="285939E6"/>
    <w:rsid w:val="28FC7A35"/>
    <w:rsid w:val="2DBA37B3"/>
    <w:rsid w:val="31C75BFC"/>
    <w:rsid w:val="32415C43"/>
    <w:rsid w:val="336D52FF"/>
    <w:rsid w:val="36AB3566"/>
    <w:rsid w:val="384B1FB2"/>
    <w:rsid w:val="3A027D9F"/>
    <w:rsid w:val="435B5C38"/>
    <w:rsid w:val="4411464B"/>
    <w:rsid w:val="44EB79FC"/>
    <w:rsid w:val="45AB4CC4"/>
    <w:rsid w:val="45F91CA4"/>
    <w:rsid w:val="46F04E55"/>
    <w:rsid w:val="47444D75"/>
    <w:rsid w:val="4AE905BD"/>
    <w:rsid w:val="4AF905C9"/>
    <w:rsid w:val="4D3F2ADF"/>
    <w:rsid w:val="4E6E2C07"/>
    <w:rsid w:val="4EBF4055"/>
    <w:rsid w:val="4EC400D5"/>
    <w:rsid w:val="50576E36"/>
    <w:rsid w:val="50E32F3E"/>
    <w:rsid w:val="52446D09"/>
    <w:rsid w:val="52D75F1F"/>
    <w:rsid w:val="54E61D80"/>
    <w:rsid w:val="56356D29"/>
    <w:rsid w:val="584B5BE4"/>
    <w:rsid w:val="59C232FC"/>
    <w:rsid w:val="5ADB6F33"/>
    <w:rsid w:val="5C4E7ACC"/>
    <w:rsid w:val="5C57765F"/>
    <w:rsid w:val="5CDC79F3"/>
    <w:rsid w:val="5FAB2C98"/>
    <w:rsid w:val="5FF6089C"/>
    <w:rsid w:val="6005277B"/>
    <w:rsid w:val="603D5D93"/>
    <w:rsid w:val="62835C1F"/>
    <w:rsid w:val="632736DB"/>
    <w:rsid w:val="65DC34B4"/>
    <w:rsid w:val="65F451AE"/>
    <w:rsid w:val="66CC61C3"/>
    <w:rsid w:val="67F65E7C"/>
    <w:rsid w:val="682F0B15"/>
    <w:rsid w:val="698836FF"/>
    <w:rsid w:val="6B883AD8"/>
    <w:rsid w:val="6BE0108D"/>
    <w:rsid w:val="6FB86553"/>
    <w:rsid w:val="7128436B"/>
    <w:rsid w:val="73A42611"/>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19765</Words>
  <Characters>20850</Characters>
  <Lines>0</Lines>
  <Paragraphs>0</Paragraphs>
  <TotalTime>9</TotalTime>
  <ScaleCrop>false</ScaleCrop>
  <LinksUpToDate>false</LinksUpToDate>
  <CharactersWithSpaces>22007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dcterms:modified xsi:type="dcterms:W3CDTF">2022-08-24T09:52:06Z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0F8CB5B3643F48F487000F86E1ADC47C</vt:lpwstr>
  </property>
</Properties>
</file>