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采[2022]37-2</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r>
        <w:rPr>
          <w:rFonts w:hint="eastAsia" w:ascii="宋体" w:cs="Times New Roman"/>
          <w:b/>
          <w:w w:val="90"/>
          <w:sz w:val="44"/>
          <w:szCs w:val="44"/>
          <w:lang w:val="en-US" w:eastAsia="zh-CN"/>
        </w:rPr>
        <w:t>HRP应用服务器</w:t>
      </w:r>
      <w:r>
        <w:rPr>
          <w:rFonts w:hint="eastAsia" w:ascii="宋体"/>
          <w:b/>
          <w:color w:val="auto"/>
          <w:w w:val="90"/>
          <w:sz w:val="44"/>
          <w:szCs w:val="44"/>
          <w:lang w:eastAsia="zh-CN"/>
        </w:rPr>
        <w:t>采</w:t>
      </w:r>
      <w:r>
        <w:rPr>
          <w:rFonts w:hint="eastAsia" w:ascii="宋体"/>
          <w:b/>
          <w:w w:val="90"/>
          <w:sz w:val="44"/>
          <w:szCs w:val="44"/>
          <w:lang w:eastAsia="zh-CN"/>
        </w:rPr>
        <w:t>购项目</w:t>
      </w:r>
    </w:p>
    <w:p>
      <w:pPr>
        <w:jc w:val="center"/>
        <w:rPr>
          <w:rFonts w:hint="eastAsia" w:ascii="宋体"/>
          <w:b/>
          <w:w w:val="90"/>
          <w:sz w:val="44"/>
          <w:szCs w:val="44"/>
          <w:lang w:eastAsia="zh-CN"/>
        </w:rPr>
      </w:pPr>
      <w:r>
        <w:rPr>
          <w:rFonts w:hint="eastAsia" w:ascii="宋体"/>
          <w:b/>
          <w:w w:val="90"/>
          <w:sz w:val="44"/>
          <w:szCs w:val="44"/>
          <w:lang w:eastAsia="zh-CN"/>
        </w:rPr>
        <w:t>（第二次）</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ascii="宋体" w:hAnsi="Times New Roman" w:eastAsia="宋体" w:cs="Times New Roman"/>
          <w:b/>
          <w:sz w:val="30"/>
          <w:szCs w:val="30"/>
          <w:lang w:val="en-US" w:eastAsia="zh-CN"/>
        </w:rPr>
        <w:t>7</w:t>
      </w:r>
      <w:r>
        <w:rPr>
          <w:rFonts w:hint="eastAsia" w:ascii="宋体" w:hAnsi="Times New Roman" w:eastAsia="宋体" w:cs="Times New Roman"/>
          <w:b/>
          <w:sz w:val="30"/>
          <w:szCs w:val="30"/>
          <w:lang w:val="zh-CN" w:eastAsia="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采[2022]37-2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HRP应用服务器</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 xml:space="preserve"> 3.6 </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3.24 </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w:t>
      </w:r>
      <w:r>
        <w:rPr>
          <w:rFonts w:hint="eastAsia" w:ascii="宋体" w:hAnsi="宋体"/>
          <w:sz w:val="24"/>
          <w:szCs w:val="22"/>
          <w:lang w:eastAsia="zh-CN"/>
        </w:rPr>
        <w:t>无</w:t>
      </w:r>
      <w:r>
        <w:rPr>
          <w:rFonts w:hint="eastAsia" w:ascii="宋体" w:hAnsi="宋体"/>
          <w:sz w:val="24"/>
          <w:szCs w:val="22"/>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21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25 </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7 </w:t>
      </w:r>
      <w:r>
        <w:rPr>
          <w:rFonts w:hint="eastAsia" w:ascii="宋体" w:hAnsi="宋体" w:cs="宋体"/>
          <w:b/>
          <w:color w:val="FF0000"/>
          <w:sz w:val="24"/>
        </w:rPr>
        <w:t>月</w:t>
      </w:r>
      <w:r>
        <w:rPr>
          <w:rFonts w:hint="eastAsia" w:ascii="宋体" w:hAnsi="宋体" w:cs="宋体"/>
          <w:b/>
          <w:color w:val="FF0000"/>
          <w:sz w:val="24"/>
          <w:lang w:val="en-US" w:eastAsia="zh-CN"/>
        </w:rPr>
        <w:t xml:space="preserve"> 26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7</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26</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7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26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李</w:t>
      </w:r>
      <w:r>
        <w:rPr>
          <w:rFonts w:hint="eastAsia"/>
          <w:sz w:val="24"/>
        </w:rPr>
        <w:t>老师</w:t>
      </w:r>
      <w:r>
        <w:rPr>
          <w:rFonts w:hint="eastAsia"/>
          <w:sz w:val="24"/>
          <w:lang w:val="en-US" w:eastAsia="zh-CN"/>
        </w:rPr>
        <w:t xml:space="preserve">              代老师          </w:t>
      </w:r>
      <w:r>
        <w:rPr>
          <w:rFonts w:hint="eastAsia"/>
          <w:sz w:val="24"/>
          <w:lang w:val="en-US" w:eastAsia="zh-CN"/>
        </w:rPr>
        <w:tab/>
      </w:r>
    </w:p>
    <w:p>
      <w:pPr>
        <w:pStyle w:val="20"/>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15700534589         13980327260</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7</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jc w:val="center"/>
        </w:trPr>
        <w:tc>
          <w:tcPr>
            <w:tcW w:w="686"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8" w:hRule="exact"/>
          <w:jc w:val="center"/>
        </w:trPr>
        <w:tc>
          <w:tcPr>
            <w:tcW w:w="686" w:type="dxa"/>
            <w:noWrap w:val="0"/>
            <w:vAlign w:val="center"/>
          </w:tcPr>
          <w:p>
            <w:pPr>
              <w:pStyle w:val="21"/>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1"/>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1"/>
              <w:ind w:firstLine="210" w:firstLineChars="100"/>
              <w:jc w:val="both"/>
              <w:rPr>
                <w:rFonts w:hint="eastAsia" w:ascii="宋体" w:hAnsi="宋体" w:cs="宋体"/>
                <w:sz w:val="21"/>
                <w:szCs w:val="21"/>
                <w:lang w:val="zh-CN" w:eastAsia="zh-CN" w:bidi="ar-SA"/>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1"/>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1"/>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050"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112" w:type="dxa"/>
            <w:noWrap w:val="0"/>
            <w:vAlign w:val="center"/>
          </w:tcPr>
          <w:p>
            <w:pPr>
              <w:pStyle w:val="21"/>
              <w:ind w:firstLine="420" w:firstLineChars="2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1"/>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1"/>
              <w:ind w:firstLine="420" w:firstLineChars="2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1"/>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1"/>
              <w:ind w:firstLine="420" w:firstLineChars="2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420" w:firstLineChars="2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420" w:firstLineChars="2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17067"/>
      <w:bookmarkStart w:id="7" w:name="_Toc13038"/>
      <w:bookmarkStart w:id="8" w:name="_Toc15215"/>
      <w:bookmarkStart w:id="9" w:name="_Toc24295"/>
      <w:bookmarkStart w:id="10" w:name="_Toc31240"/>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430773927"/>
      <w:bookmarkStart w:id="13" w:name="_Toc101250646"/>
      <w:bookmarkStart w:id="14" w:name="_Toc209847069"/>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217446056"/>
      <w:bookmarkStart w:id="18" w:name="_Toc183682368"/>
      <w:bookmarkStart w:id="19" w:name="_Toc77400782"/>
      <w:bookmarkStart w:id="20" w:name="_Toc183582231"/>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按国家三级等级保护要求，系统（HRP）前端需要前置机进行物理防护，拟购买</w:t>
      </w:r>
      <w:r>
        <w:rPr>
          <w:rFonts w:hint="eastAsia" w:cs="宋体"/>
          <w:color w:val="auto"/>
          <w:kern w:val="2"/>
          <w:sz w:val="24"/>
          <w:szCs w:val="24"/>
          <w:lang w:val="en-US" w:eastAsia="zh-CN" w:bidi="ar-SA"/>
        </w:rPr>
        <w:t>HRP应用服务器。</w:t>
      </w:r>
    </w:p>
    <w:p>
      <w:pPr>
        <w:pStyle w:val="7"/>
        <w:numPr>
          <w:ilvl w:val="0"/>
          <w:numId w:val="0"/>
        </w:numPr>
        <w:ind w:firstLine="480" w:firstLineChars="200"/>
        <w:rPr>
          <w:rFonts w:hint="eastAsia" w:cs="宋体"/>
          <w:b/>
          <w:bCs/>
          <w:sz w:val="28"/>
          <w:szCs w:val="28"/>
          <w:lang w:val="en-US" w:eastAsia="zh-CN"/>
        </w:rPr>
      </w:pPr>
      <w:r>
        <w:rPr>
          <w:rFonts w:hint="eastAsia" w:cs="宋体"/>
          <w:b w:val="0"/>
          <w:bCs w:val="0"/>
          <w:color w:val="auto"/>
          <w:lang w:val="en-US" w:eastAsia="zh-CN"/>
        </w:rPr>
        <w:t>二、</w:t>
      </w:r>
      <w:r>
        <w:rPr>
          <w:rFonts w:hint="eastAsia" w:cs="宋体"/>
          <w:b/>
          <w:bCs/>
          <w:sz w:val="28"/>
          <w:szCs w:val="28"/>
          <w:lang w:val="en-US" w:eastAsia="zh-CN"/>
        </w:rPr>
        <w:t>项目清单</w:t>
      </w:r>
    </w:p>
    <w:tbl>
      <w:tblPr>
        <w:tblStyle w:val="15"/>
        <w:tblpPr w:leftFromText="180" w:rightFromText="180" w:vertAnchor="text" w:tblpXSpec="center" w:tblpY="1"/>
        <w:tblOverlap w:val="never"/>
        <w:tblW w:w="8139" w:type="dxa"/>
        <w:tblInd w:w="-2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324"/>
        <w:gridCol w:w="154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6" w:type="dxa"/>
            <w:noWrap w:val="0"/>
            <w:vAlign w:val="center"/>
          </w:tcPr>
          <w:p>
            <w:pPr>
              <w:spacing w:line="500" w:lineRule="exact"/>
              <w:jc w:val="center"/>
              <w:rPr>
                <w:rFonts w:hint="eastAsia" w:ascii="宋体" w:hAnsi="宋体" w:cs="宋体"/>
                <w:b/>
                <w:sz w:val="22"/>
                <w:szCs w:val="22"/>
              </w:rPr>
            </w:pPr>
            <w:r>
              <w:rPr>
                <w:rFonts w:hint="eastAsia" w:ascii="宋体" w:hAnsi="宋体" w:cs="宋体"/>
                <w:b/>
                <w:sz w:val="22"/>
                <w:szCs w:val="22"/>
              </w:rPr>
              <w:t>序号</w:t>
            </w:r>
          </w:p>
        </w:tc>
        <w:tc>
          <w:tcPr>
            <w:tcW w:w="4324"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名称</w:t>
            </w:r>
          </w:p>
        </w:tc>
        <w:tc>
          <w:tcPr>
            <w:tcW w:w="1548"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数量</w:t>
            </w:r>
          </w:p>
        </w:tc>
        <w:tc>
          <w:tcPr>
            <w:tcW w:w="1531" w:type="dxa"/>
            <w:noWrap w:val="0"/>
            <w:vAlign w:val="center"/>
          </w:tcPr>
          <w:p>
            <w:pPr>
              <w:spacing w:line="500" w:lineRule="exact"/>
              <w:ind w:left="2"/>
              <w:contextualSpacing/>
              <w:jc w:val="center"/>
              <w:rPr>
                <w:rFonts w:hint="eastAsia" w:ascii="宋体" w:hAnsi="宋体" w:cs="宋体"/>
                <w:b/>
                <w:sz w:val="22"/>
                <w:szCs w:val="22"/>
              </w:rPr>
            </w:pPr>
            <w:r>
              <w:rPr>
                <w:rFonts w:hint="eastAsia" w:ascii="宋体" w:hAnsi="宋体" w:cs="宋体"/>
                <w:b/>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7"/>
                <w:rFonts w:hint="eastAsia" w:ascii="宋体" w:hAnsi="宋体" w:eastAsiaTheme="minorEastAsia" w:cstheme="minorBidi"/>
                <w:color w:val="000000" w:themeColor="text1"/>
                <w:sz w:val="24"/>
                <w:szCs w:val="24"/>
                <w:lang w:val="en-US" w:eastAsia="zh-CN"/>
                <w14:textFill>
                  <w14:solidFill>
                    <w14:schemeClr w14:val="tx1"/>
                  </w14:solidFill>
                </w14:textFill>
              </w:rPr>
            </w:pPr>
            <w:r>
              <w:rPr>
                <w:rStyle w:val="27"/>
                <w:rFonts w:hint="eastAsia" w:ascii="宋体" w:hAnsi="宋体" w:eastAsiaTheme="minorEastAsia" w:cstheme="minorBidi"/>
                <w:color w:val="000000" w:themeColor="text1"/>
                <w:sz w:val="24"/>
                <w:szCs w:val="24"/>
                <w14:textFill>
                  <w14:solidFill>
                    <w14:schemeClr w14:val="tx1"/>
                  </w14:solidFill>
                </w14:textFill>
              </w:rPr>
              <w:t>1</w:t>
            </w:r>
          </w:p>
        </w:tc>
        <w:tc>
          <w:tcPr>
            <w:tcW w:w="432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7"/>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7"/>
                <w:rFonts w:hint="eastAsia" w:ascii="宋体" w:hAnsi="宋体" w:eastAsiaTheme="minorEastAsia" w:cstheme="minorBidi"/>
                <w:color w:val="000000" w:themeColor="text1"/>
                <w:sz w:val="24"/>
                <w:szCs w:val="24"/>
                <w:lang w:val="en-US" w:eastAsia="zh-CN"/>
                <w14:textFill>
                  <w14:solidFill>
                    <w14:schemeClr w14:val="tx1"/>
                  </w14:solidFill>
                </w14:textFill>
              </w:rPr>
              <w:t>HRP应用服务器</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7"/>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7"/>
                <w:rFonts w:hint="eastAsia" w:ascii="宋体" w:hAnsi="宋体" w:eastAsiaTheme="minorEastAsia" w:cstheme="minorBidi"/>
                <w:color w:val="000000" w:themeColor="text1"/>
                <w:sz w:val="24"/>
                <w:szCs w:val="24"/>
                <w:lang w:val="en-US" w:eastAsia="zh-CN"/>
                <w14:textFill>
                  <w14:solidFill>
                    <w14:schemeClr w14:val="tx1"/>
                  </w14:solidFill>
                </w14:textFill>
              </w:rPr>
              <w:t>1</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7"/>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7"/>
                <w:rFonts w:hint="eastAsia" w:ascii="宋体" w:hAnsi="宋体" w:eastAsiaTheme="minorEastAsia" w:cstheme="minorBidi"/>
                <w:color w:val="000000" w:themeColor="text1"/>
                <w:sz w:val="24"/>
                <w:szCs w:val="24"/>
                <w:lang w:val="en-US" w:eastAsia="zh-CN"/>
                <w14:textFill>
                  <w14:solidFill>
                    <w14:schemeClr w14:val="tx1"/>
                  </w14:solidFill>
                </w14:textFill>
              </w:rPr>
              <w:t>套</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tbl>
      <w:tblPr>
        <w:tblStyle w:val="15"/>
        <w:tblW w:w="8652" w:type="dxa"/>
        <w:tblInd w:w="464" w:type="dxa"/>
        <w:tblLayout w:type="fixed"/>
        <w:tblCellMar>
          <w:top w:w="0" w:type="dxa"/>
          <w:left w:w="108" w:type="dxa"/>
          <w:bottom w:w="0" w:type="dxa"/>
          <w:right w:w="108" w:type="dxa"/>
        </w:tblCellMar>
      </w:tblPr>
      <w:tblGrid>
        <w:gridCol w:w="1284"/>
        <w:gridCol w:w="7368"/>
      </w:tblGrid>
      <w:tr>
        <w:tblPrEx>
          <w:tblCellMar>
            <w:top w:w="0" w:type="dxa"/>
            <w:left w:w="108" w:type="dxa"/>
            <w:bottom w:w="0" w:type="dxa"/>
            <w:right w:w="108" w:type="dxa"/>
          </w:tblCellMar>
        </w:tblPrEx>
        <w:trPr>
          <w:trHeight w:val="44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项目</w:t>
            </w:r>
          </w:p>
        </w:tc>
        <w:tc>
          <w:tcPr>
            <w:tcW w:w="73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参数要求</w:t>
            </w:r>
          </w:p>
        </w:tc>
      </w:tr>
      <w:tr>
        <w:tblPrEx>
          <w:tblCellMar>
            <w:top w:w="0" w:type="dxa"/>
            <w:left w:w="108" w:type="dxa"/>
            <w:bottom w:w="0" w:type="dxa"/>
            <w:right w:w="108" w:type="dxa"/>
          </w:tblCellMar>
        </w:tblPrEx>
        <w:trPr>
          <w:trHeight w:val="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标配配置</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sz w:val="22"/>
                <w:szCs w:val="22"/>
              </w:rPr>
            </w:pPr>
            <w:r>
              <w:rPr>
                <w:rStyle w:val="28"/>
                <w:rFonts w:hint="default" w:ascii="宋体" w:hAnsi="宋体" w:eastAsia="宋体" w:cs="宋体"/>
                <w:b w:val="0"/>
                <w:color w:val="auto"/>
              </w:rPr>
              <w:t xml:space="preserve">CPU (R)  Processor </w:t>
            </w:r>
            <w:r>
              <w:rPr>
                <w:rStyle w:val="29"/>
                <w:rFonts w:hint="eastAsia" w:ascii="宋体" w:hAnsi="宋体" w:cs="宋体"/>
                <w:b w:val="0"/>
                <w:color w:val="auto"/>
              </w:rPr>
              <w:t>≥</w:t>
            </w:r>
            <w:r>
              <w:rPr>
                <w:rStyle w:val="28"/>
                <w:rFonts w:hint="default" w:ascii="宋体" w:hAnsi="宋体" w:eastAsia="宋体" w:cs="宋体"/>
                <w:b w:val="0"/>
                <w:color w:val="auto"/>
              </w:rPr>
              <w:t xml:space="preserve"> 二十四核心 2.4GHz, 20MB Cache  *2;   </w:t>
            </w:r>
            <w:r>
              <w:rPr>
                <w:rStyle w:val="30"/>
                <w:rFonts w:hint="default" w:ascii="宋体" w:hAnsi="宋体" w:eastAsia="宋体" w:cs="宋体"/>
                <w:b w:val="0"/>
                <w:color w:val="auto"/>
              </w:rPr>
              <w:t xml:space="preserve">             </w:t>
            </w:r>
            <w:r>
              <w:rPr>
                <w:rStyle w:val="30"/>
                <w:rFonts w:hint="default" w:ascii="宋体" w:hAnsi="宋体" w:eastAsia="宋体" w:cs="宋体"/>
                <w:b w:val="0"/>
                <w:color w:val="auto"/>
              </w:rPr>
              <w:br w:type="textWrapping"/>
            </w:r>
            <w:r>
              <w:rPr>
                <w:rStyle w:val="30"/>
                <w:rFonts w:hint="default" w:ascii="宋体" w:hAnsi="宋体" w:eastAsia="宋体" w:cs="宋体"/>
                <w:b w:val="0"/>
                <w:color w:val="auto"/>
              </w:rPr>
              <w:t xml:space="preserve">固件硬盘≥ 200G-SSD-2.5"                                                                                                          封装缓存≥ 250G 高速P-A-E封装加速技术（Turbo加速2.0 4500MB/秒）                                                         </w:t>
            </w:r>
            <w:r>
              <w:rPr>
                <w:rStyle w:val="30"/>
                <w:rFonts w:hint="default" w:ascii="宋体" w:hAnsi="宋体" w:eastAsia="宋体" w:cs="宋体"/>
                <w:b w:val="0"/>
                <w:color w:val="auto"/>
              </w:rPr>
              <w:br w:type="textWrapping"/>
            </w:r>
            <w:r>
              <w:rPr>
                <w:rStyle w:val="30"/>
                <w:rFonts w:hint="default" w:ascii="宋体" w:hAnsi="宋体" w:eastAsia="宋体" w:cs="宋体"/>
                <w:b w:val="0"/>
                <w:color w:val="auto"/>
              </w:rPr>
              <w:t xml:space="preserve">数据硬盘≥ 1000G  企业级SATAIII 2.5寸；  </w:t>
            </w:r>
            <w:r>
              <w:rPr>
                <w:rStyle w:val="30"/>
                <w:rFonts w:hint="default" w:ascii="宋体" w:hAnsi="宋体" w:eastAsia="宋体" w:cs="宋体"/>
                <w:b w:val="0"/>
                <w:color w:val="auto"/>
              </w:rPr>
              <w:br w:type="textWrapping"/>
            </w:r>
            <w:r>
              <w:rPr>
                <w:rStyle w:val="28"/>
                <w:rFonts w:hint="default" w:ascii="宋体" w:hAnsi="宋体" w:eastAsia="宋体" w:cs="宋体"/>
                <w:b w:val="0"/>
                <w:color w:val="auto"/>
              </w:rPr>
              <w:t xml:space="preserve">内存容量≥ 64GB-ECC4代-纠错效验内存(高标4bit服务器专用) (双通道32X2) </w:t>
            </w:r>
            <w:r>
              <w:rPr>
                <w:rStyle w:val="30"/>
                <w:rFonts w:hint="default" w:ascii="宋体" w:hAnsi="宋体" w:eastAsia="宋体" w:cs="宋体"/>
                <w:b w:val="0"/>
                <w:color w:val="auto"/>
              </w:rPr>
              <w:t xml:space="preserve">                                                                                                                安全引擎≥ ERP专用数据安全舱1000G企业级存储                                                                                                                </w:t>
            </w:r>
          </w:p>
        </w:tc>
      </w:tr>
      <w:tr>
        <w:tblPrEx>
          <w:tblCellMar>
            <w:top w:w="0" w:type="dxa"/>
            <w:left w:w="108" w:type="dxa"/>
            <w:bottom w:w="0" w:type="dxa"/>
            <w:right w:w="108" w:type="dxa"/>
          </w:tblCellMar>
        </w:tblPrEx>
        <w:trPr>
          <w:trHeight w:val="640"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数据安全</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数据安全</w:t>
            </w:r>
            <w:r>
              <w:rPr>
                <w:rStyle w:val="31"/>
                <w:rFonts w:hint="default" w:ascii="宋体" w:hAnsi="宋体" w:eastAsia="宋体" w:cs="宋体"/>
              </w:rPr>
              <w:t>--无惧硬盘损毁，高速缓存加速区D盘负责数据库主存储，机械硬盘负责备份临时缓存盘，外加闪备数据安全舱，确保三份独立数据源；</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备安全舱</w:t>
            </w:r>
            <w:r>
              <w:rPr>
                <w:rStyle w:val="31"/>
                <w:rFonts w:hint="default" w:ascii="宋体" w:hAnsi="宋体" w:eastAsia="宋体" w:cs="宋体"/>
              </w:rPr>
              <w:t>--标配独立闪备数据安全舱，基于银河企业级存储机械硬盘，全盘256位加密，让黑客无法攻击安全舱中的数据，实现更好的数据安全；</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异构系统</w:t>
            </w:r>
            <w:r>
              <w:rPr>
                <w:rStyle w:val="31"/>
                <w:rFonts w:hint="default" w:ascii="宋体" w:hAnsi="宋体" w:eastAsia="宋体" w:cs="宋体"/>
              </w:rPr>
              <w:t>--提供Windows+Linux双系统管理权限，病毒无法同时对两个系统发起攻击，双系统提供了更安全的数据管理机制；</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三重保护</w:t>
            </w:r>
            <w:r>
              <w:rPr>
                <w:rStyle w:val="31"/>
                <w:rFonts w:hint="default" w:ascii="宋体" w:hAnsi="宋体" w:eastAsia="宋体" w:cs="宋体"/>
              </w:rPr>
              <w:t>--SSD的D盘1份数据+机械盘E盘1份数据+闪备数据安全舱1份数据，共3份独立数据，互相冗余，确保安全；</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数据效验</w:t>
            </w:r>
            <w:r>
              <w:rPr>
                <w:rStyle w:val="31"/>
                <w:rFonts w:hint="default" w:ascii="宋体" w:hAnsi="宋体" w:eastAsia="宋体" w:cs="宋体"/>
              </w:rPr>
              <w:t>--X8III存储数据效验引擎3.0 备份前后对比效验数据完整性，确保备份前后的数据完整性和一致性，智能效验数据完整性；</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数据容错</w:t>
            </w:r>
            <w:r>
              <w:rPr>
                <w:rStyle w:val="31"/>
                <w:rFonts w:hint="default" w:ascii="宋体" w:hAnsi="宋体" w:eastAsia="宋体" w:cs="宋体"/>
              </w:rPr>
              <w:t>--SSD硬盘与机械硬盘相互容错，互相补充，确保物理外力危害数据安全或异常电力危害数据安全，都不能同时对两种介质产生影响；</w:t>
            </w:r>
          </w:p>
        </w:tc>
      </w:tr>
      <w:tr>
        <w:tblPrEx>
          <w:tblCellMar>
            <w:top w:w="0" w:type="dxa"/>
            <w:left w:w="108" w:type="dxa"/>
            <w:bottom w:w="0" w:type="dxa"/>
            <w:right w:w="108" w:type="dxa"/>
          </w:tblCellMar>
        </w:tblPrEx>
        <w:trPr>
          <w:trHeight w:val="648"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效率加速</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加速芯片</w:t>
            </w:r>
            <w:r>
              <w:rPr>
                <w:rStyle w:val="31"/>
                <w:rFonts w:hint="default" w:ascii="宋体" w:hAnsi="宋体" w:eastAsia="宋体" w:cs="宋体"/>
              </w:rPr>
              <w:t>--采用Turbo加速技术，可以让磁盘吞吐交换速度达到3500MB/秒-6000MB/秒（不同型号）让ERP账套处理查询速度更效率；</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封装加速</w:t>
            </w:r>
            <w:r>
              <w:rPr>
                <w:rStyle w:val="31"/>
                <w:rFonts w:hint="default" w:ascii="宋体" w:hAnsi="宋体" w:eastAsia="宋体" w:cs="宋体"/>
              </w:rPr>
              <w:t>--将操作系统和数据库以及账套数据全部封装压缩到高速缓存中，使其全部运行在IOPS在30万处理能力的加速区中，全面提升效率；</w:t>
            </w:r>
          </w:p>
        </w:tc>
      </w:tr>
      <w:tr>
        <w:tblPrEx>
          <w:tblCellMar>
            <w:top w:w="0" w:type="dxa"/>
            <w:left w:w="108" w:type="dxa"/>
            <w:bottom w:w="0" w:type="dxa"/>
            <w:right w:w="108" w:type="dxa"/>
          </w:tblCellMar>
        </w:tblPrEx>
        <w:trPr>
          <w:trHeight w:val="648"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底层加密</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防止登陆</w:t>
            </w:r>
            <w:r>
              <w:rPr>
                <w:rStyle w:val="31"/>
                <w:rFonts w:hint="default" w:ascii="宋体" w:hAnsi="宋体" w:eastAsia="宋体" w:cs="宋体"/>
              </w:rPr>
              <w:t>--安全管理控制系统，让非法使用者无法使用服务器屏幕，无法通过暴力破解软件破解服务器密码，在非法使用者面前竖起安全屏障；</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双匙管理</w:t>
            </w:r>
            <w:r>
              <w:rPr>
                <w:rStyle w:val="31"/>
                <w:rFonts w:hint="default" w:ascii="宋体" w:hAnsi="宋体" w:eastAsia="宋体" w:cs="宋体"/>
              </w:rPr>
              <w:t>--可以提供双密码钥匙权限管理，让IT运维掌握WINDOWS管理权限，财务总监或总经理掌握LINUX管理权限，双密匙安全防止误操作；</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硬盘加密</w:t>
            </w:r>
            <w:r>
              <w:rPr>
                <w:rStyle w:val="31"/>
                <w:rFonts w:hint="default" w:ascii="宋体" w:hAnsi="宋体" w:eastAsia="宋体" w:cs="宋体"/>
              </w:rPr>
              <w:t>--全盘采用256位加密技术，即使一旦服务器硬盘被盗走，非法人员也无法使用硬盘上的数据，提供一个必要的安全加密保护；</w:t>
            </w:r>
          </w:p>
        </w:tc>
      </w:tr>
      <w:tr>
        <w:tblPrEx>
          <w:tblCellMar>
            <w:top w:w="0" w:type="dxa"/>
            <w:left w:w="108" w:type="dxa"/>
            <w:bottom w:w="0" w:type="dxa"/>
            <w:right w:w="108" w:type="dxa"/>
          </w:tblCellMar>
        </w:tblPrEx>
        <w:trPr>
          <w:trHeight w:val="680"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系统维护</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系统恢复</w:t>
            </w:r>
            <w:r>
              <w:rPr>
                <w:rStyle w:val="31"/>
                <w:rFonts w:hint="default" w:ascii="宋体" w:hAnsi="宋体" w:eastAsia="宋体" w:cs="宋体"/>
              </w:rPr>
              <w:t>--操作系统热备份/定制系统备份计划，可以自定义何时对整个操作系统进行整系统备份，包括：操作系统+数据库+软件+账套；</w:t>
            </w:r>
          </w:p>
        </w:tc>
      </w:tr>
      <w:tr>
        <w:tblPrEx>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快速安装</w:t>
            </w:r>
            <w:r>
              <w:rPr>
                <w:rStyle w:val="31"/>
                <w:rFonts w:hint="default" w:ascii="宋体" w:hAnsi="宋体" w:eastAsia="宋体" w:cs="宋体"/>
              </w:rPr>
              <w:t>--部署全新操作系统仅仅需要3分钟，重装C盘操作系统10分钟，并自动进行驱动程序安装；</w:t>
            </w:r>
          </w:p>
        </w:tc>
      </w:tr>
      <w:tr>
        <w:tblPrEx>
          <w:tblCellMar>
            <w:top w:w="0" w:type="dxa"/>
            <w:left w:w="108" w:type="dxa"/>
            <w:bottom w:w="0" w:type="dxa"/>
            <w:right w:w="108" w:type="dxa"/>
          </w:tblCellMar>
        </w:tblPrEx>
        <w:trPr>
          <w:trHeight w:val="97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平滑升级</w:t>
            </w:r>
            <w:r>
              <w:rPr>
                <w:rStyle w:val="31"/>
                <w:rFonts w:hint="default" w:ascii="宋体" w:hAnsi="宋体" w:eastAsia="宋体" w:cs="宋体"/>
              </w:rPr>
              <w:t>--5年后如果客户升级服务器硬件，可以通过操作系统打包拖拽的方式，直接将现有系统拖拽到新服务器上，而不用担心操作系统中安装的二次开发或其他程序问题，平滑升级硬件更方便；</w:t>
            </w:r>
          </w:p>
        </w:tc>
      </w:tr>
      <w:tr>
        <w:tblPrEx>
          <w:tblCellMar>
            <w:top w:w="0" w:type="dxa"/>
            <w:left w:w="108" w:type="dxa"/>
            <w:bottom w:w="0" w:type="dxa"/>
            <w:right w:w="108" w:type="dxa"/>
          </w:tblCellMar>
        </w:tblPrEx>
        <w:trPr>
          <w:trHeight w:val="324"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稳定系统</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稳定系统</w:t>
            </w:r>
            <w:r>
              <w:rPr>
                <w:rStyle w:val="31"/>
                <w:rFonts w:hint="default" w:ascii="宋体" w:hAnsi="宋体" w:eastAsia="宋体" w:cs="宋体"/>
              </w:rPr>
              <w:t>--Choice稳定系统，存储平均故障率时间220万小时；</w:t>
            </w:r>
          </w:p>
        </w:tc>
      </w:tr>
      <w:tr>
        <w:tblPrEx>
          <w:tblCellMar>
            <w:top w:w="0" w:type="dxa"/>
            <w:left w:w="108" w:type="dxa"/>
            <w:bottom w:w="0" w:type="dxa"/>
            <w:right w:w="108" w:type="dxa"/>
          </w:tblCellMar>
        </w:tblPrEx>
        <w:trPr>
          <w:trHeight w:val="324"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连续运行</w:t>
            </w:r>
            <w:r>
              <w:rPr>
                <w:rStyle w:val="31"/>
                <w:rFonts w:hint="default" w:ascii="宋体" w:hAnsi="宋体" w:eastAsia="宋体" w:cs="宋体"/>
              </w:rPr>
              <w:t>--24X7X365连续运行设计，连续负载强压力运行50000小时；</w:t>
            </w:r>
          </w:p>
        </w:tc>
      </w:tr>
      <w:tr>
        <w:tblPrEx>
          <w:tblCellMar>
            <w:top w:w="0" w:type="dxa"/>
            <w:left w:w="108" w:type="dxa"/>
            <w:bottom w:w="0" w:type="dxa"/>
            <w:right w:w="108" w:type="dxa"/>
          </w:tblCellMar>
        </w:tblPrEx>
        <w:trPr>
          <w:trHeight w:val="324"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快速运维</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Style w:val="30"/>
                <w:rFonts w:hint="default" w:ascii="宋体" w:hAnsi="宋体" w:eastAsia="宋体" w:cs="宋体"/>
              </w:rPr>
              <w:t>快速运维</w:t>
            </w:r>
            <w:r>
              <w:rPr>
                <w:rStyle w:val="31"/>
                <w:rFonts w:hint="default" w:ascii="宋体" w:hAnsi="宋体" w:eastAsia="宋体" w:cs="宋体"/>
              </w:rPr>
              <w:t>--支持1小时快速系统安装服务，20分钟内操作系统安装完毕；</w:t>
            </w:r>
          </w:p>
        </w:tc>
      </w:tr>
      <w:tr>
        <w:tblPrEx>
          <w:tblCellMar>
            <w:top w:w="0" w:type="dxa"/>
            <w:left w:w="108" w:type="dxa"/>
            <w:bottom w:w="0" w:type="dxa"/>
            <w:right w:w="108" w:type="dxa"/>
          </w:tblCellMar>
        </w:tblPrEx>
        <w:trPr>
          <w:trHeight w:val="135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质保售后</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FF0000"/>
                <w:sz w:val="22"/>
                <w:szCs w:val="22"/>
              </w:rPr>
            </w:pPr>
            <w:r>
              <w:rPr>
                <w:rStyle w:val="28"/>
                <w:rFonts w:hint="default" w:ascii="宋体" w:hAnsi="宋体" w:eastAsia="宋体" w:cs="宋体"/>
              </w:rPr>
              <w:t>售后服务</w:t>
            </w:r>
            <w:r>
              <w:rPr>
                <w:rStyle w:val="32"/>
                <w:rFonts w:hint="default" w:ascii="宋体" w:hAnsi="宋体" w:eastAsia="宋体" w:cs="宋体"/>
              </w:rPr>
              <w:t xml:space="preserve">  服务器5年整体质保；含所有软硬件，服务期限内免费升级，不限次数远程安装系统和数据库、白金工程师技术支持服务、系统和病毒清理服务、远程系统安全加固服务、备用服务器服务、部署咨询服务、运行环境部署服务、远程应用诊断服务、远程运行环境检测。</w:t>
            </w:r>
          </w:p>
        </w:tc>
      </w:tr>
    </w:tbl>
    <w:p>
      <w:pPr>
        <w:pStyle w:val="7"/>
        <w:ind w:firstLine="482"/>
        <w:rPr>
          <w:rFonts w:hint="eastAsia"/>
          <w:b/>
          <w:bCs/>
          <w:color w:val="auto"/>
          <w:lang w:eastAsia="zh-CN"/>
        </w:rPr>
      </w:pPr>
    </w:p>
    <w:p>
      <w:pPr>
        <w:pStyle w:val="7"/>
        <w:spacing w:line="400" w:lineRule="exact"/>
        <w:ind w:firstLine="6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（二）服务要求</w:t>
      </w:r>
    </w:p>
    <w:p>
      <w:pPr>
        <w:pStyle w:val="24"/>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采购标的质保期为验收合格后5年，质保期内出现质量问题，24小时内完成维修或更换，并承担修理调换的费用</w:t>
      </w:r>
      <w:r>
        <w:rPr>
          <w:rFonts w:hint="eastAsia" w:hAnsi="宋体" w:cs="宋体"/>
          <w:kern w:val="0"/>
          <w:sz w:val="24"/>
        </w:rPr>
        <w:t>。质保期内出现因质量问题经过2次维修不能正常使用的，做退、换货处理。维修、换货时间不计入质保期。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（三）政府采购合同内容条款要求：</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ascii="宋体" w:hAnsi="宋体" w:cs="宋体"/>
          <w:color w:val="auto"/>
          <w:highlight w:val="none"/>
        </w:rPr>
        <w:t>交付</w:t>
      </w:r>
      <w:r>
        <w:rPr>
          <w:rFonts w:hint="eastAsia" w:ascii="宋体" w:hAnsi="宋体" w:cs="宋体"/>
          <w:color w:val="auto"/>
          <w:highlight w:val="none"/>
        </w:rPr>
        <w:t>时间：合同签订后15天内完成设备的安装调试并交付</w:t>
      </w:r>
      <w:r>
        <w:rPr>
          <w:rFonts w:hint="eastAsia" w:ascii="宋体" w:hAnsi="宋体" w:cs="宋体"/>
          <w:color w:val="auto"/>
          <w:highlight w:val="none"/>
          <w:lang w:eastAsia="zh-CN"/>
        </w:rPr>
        <w:t>使用</w:t>
      </w:r>
      <w:r>
        <w:rPr>
          <w:rFonts w:hint="eastAsia" w:ascii="宋体" w:hAnsi="宋体" w:cs="宋体"/>
          <w:color w:val="auto"/>
          <w:highlight w:val="none"/>
        </w:rPr>
        <w:t>。</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货物</w:t>
      </w:r>
      <w:r>
        <w:rPr>
          <w:rFonts w:ascii="宋体" w:hAnsi="宋体" w:cs="宋体"/>
          <w:color w:val="auto"/>
          <w:highlight w:val="none"/>
        </w:rPr>
        <w:t>交付</w:t>
      </w:r>
      <w:r>
        <w:rPr>
          <w:rFonts w:hint="eastAsia" w:ascii="宋体" w:hAnsi="宋体" w:cs="宋体"/>
          <w:color w:val="auto"/>
          <w:highlight w:val="none"/>
        </w:rPr>
        <w:t>地点：邻水县人民医院。</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验收标准：必须与投标文件应答的配置、技术参数、医院业务需要一致，其他未尽事宜应严格按照四川省财政厅《财政部关于进一步加强政府采购需求和履约验收管理的指导意见》（财库〔2016〕205号）的要求进行验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付款方式：</w:t>
      </w:r>
      <w:r>
        <w:rPr>
          <w:rFonts w:hint="eastAsia" w:ascii="宋体" w:hAnsi="宋体" w:cs="宋体"/>
          <w:color w:val="auto"/>
          <w:highlight w:val="none"/>
          <w:lang w:eastAsia="zh-CN"/>
        </w:rPr>
        <w:t>分期支付。</w:t>
      </w:r>
      <w:bookmarkStart w:id="34" w:name="_GoBack"/>
      <w:bookmarkEnd w:id="34"/>
      <w:r>
        <w:rPr>
          <w:rFonts w:hint="eastAsia" w:ascii="宋体" w:hAnsi="宋体" w:eastAsia="宋体" w:cs="宋体"/>
          <w:color w:val="auto"/>
          <w:highlight w:val="none"/>
          <w:lang w:val="en-US" w:eastAsia="zh-CN"/>
        </w:rPr>
        <w:t xml:space="preserve">验收合格后，采购人接到成交供应商通知与票据凭证资料以后的30日内，支付合同总价的百分之九十；验收合格满 </w:t>
      </w:r>
      <w:r>
        <w:rPr>
          <w:rFonts w:hint="default"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年后，采购人接到成交供应商通知和支付凭证资料文件，以及由采购人确认本货物质量与服务等约定事项已经履行完毕的正式书面文件后的 30日内，支付合同的百分之十。</w:t>
      </w:r>
    </w:p>
    <w:p>
      <w:pPr>
        <w:adjustRightInd w:val="0"/>
        <w:spacing w:line="360" w:lineRule="auto"/>
        <w:ind w:firstLine="482" w:firstLineChars="200"/>
        <w:rPr>
          <w:rFonts w:ascii="宋体" w:hAnsi="宋体" w:cs="宋体"/>
          <w:b/>
          <w:color w:val="auto"/>
          <w:highlight w:val="none"/>
        </w:rPr>
      </w:pPr>
      <w:r>
        <w:rPr>
          <w:rFonts w:hint="eastAsia"/>
          <w:b/>
          <w:bCs/>
          <w:color w:val="auto"/>
          <w:sz w:val="24"/>
          <w:szCs w:val="24"/>
          <w:highlight w:val="none"/>
          <w:lang w:val="en-US" w:eastAsia="zh-CN"/>
        </w:rPr>
        <w:t>（四）</w:t>
      </w:r>
      <w:r>
        <w:rPr>
          <w:rFonts w:hint="eastAsia" w:ascii="宋体" w:hAnsi="宋体" w:cs="宋体"/>
          <w:b/>
          <w:color w:val="auto"/>
          <w:highlight w:val="none"/>
        </w:rPr>
        <w:t xml:space="preserve">履约能力要求： </w:t>
      </w:r>
    </w:p>
    <w:p>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成交供应商指派负责本项目的专职人员1-2名，提供授权文件和专职人员的身份证证明。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color w:val="auto"/>
          <w:sz w:val="24"/>
          <w:szCs w:val="24"/>
          <w:highlight w:val="none"/>
        </w:rPr>
      </w:pPr>
      <w:r>
        <w:rPr>
          <w:rFonts w:hint="eastAsia"/>
          <w:b/>
          <w:bCs/>
          <w:color w:val="auto"/>
          <w:sz w:val="24"/>
          <w:szCs w:val="24"/>
          <w:highlight w:val="none"/>
          <w:lang w:val="en-US" w:eastAsia="zh-CN"/>
        </w:rPr>
        <w:t>（五）</w:t>
      </w:r>
      <w:r>
        <w:rPr>
          <w:rFonts w:hint="eastAsia"/>
          <w:b/>
          <w:bCs/>
          <w:color w:val="auto"/>
          <w:sz w:val="24"/>
          <w:szCs w:val="24"/>
          <w:highlight w:val="none"/>
        </w:rPr>
        <w:t>其他商务要求</w:t>
      </w:r>
    </w:p>
    <w:p>
      <w:pPr>
        <w:pStyle w:val="2"/>
        <w:ind w:firstLine="630" w:firstLineChars="300"/>
        <w:rPr>
          <w:rFonts w:hint="eastAsia"/>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采购价为到货含税价，并包括运输、装卸、安装、调试、操作培训、人工、差旅等一切费用。</w:t>
      </w:r>
    </w:p>
    <w:p>
      <w:pPr>
        <w:spacing w:line="400" w:lineRule="exact"/>
        <w:ind w:firstLine="600" w:firstLineChars="250"/>
        <w:rPr>
          <w:rFonts w:hint="eastAsia" w:ascii="黑体" w:hAnsi="宋体" w:eastAsia="黑体"/>
          <w:b/>
          <w:color w:val="auto"/>
          <w:sz w:val="32"/>
          <w:szCs w:val="32"/>
          <w:highlight w:val="none"/>
        </w:rPr>
      </w:pPr>
      <w:r>
        <w:rPr>
          <w:rFonts w:hint="eastAsia" w:hAnsi="宋体" w:cs="宋体"/>
          <w:color w:val="auto"/>
          <w:kern w:val="0"/>
          <w:sz w:val="24"/>
          <w:highlight w:val="none"/>
        </w:rPr>
        <w:t>2、产品应为2021年（含）以后生产的产品。</w:t>
      </w: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p>
    <w:p>
      <w:pPr>
        <w:pStyle w:val="2"/>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206068F"/>
    <w:rsid w:val="03D57D3E"/>
    <w:rsid w:val="04A56D22"/>
    <w:rsid w:val="052B25BB"/>
    <w:rsid w:val="057C05D4"/>
    <w:rsid w:val="069E4015"/>
    <w:rsid w:val="09645A08"/>
    <w:rsid w:val="09D90529"/>
    <w:rsid w:val="0D6D5659"/>
    <w:rsid w:val="1200267B"/>
    <w:rsid w:val="17214185"/>
    <w:rsid w:val="195A66FF"/>
    <w:rsid w:val="1FE43AF7"/>
    <w:rsid w:val="205058A7"/>
    <w:rsid w:val="24543D12"/>
    <w:rsid w:val="259801CB"/>
    <w:rsid w:val="2DBA37B3"/>
    <w:rsid w:val="2F426AA4"/>
    <w:rsid w:val="30833CC0"/>
    <w:rsid w:val="32415C43"/>
    <w:rsid w:val="32574888"/>
    <w:rsid w:val="354C7F04"/>
    <w:rsid w:val="35B74999"/>
    <w:rsid w:val="36993CAB"/>
    <w:rsid w:val="36AF4156"/>
    <w:rsid w:val="410D6553"/>
    <w:rsid w:val="41B15C6B"/>
    <w:rsid w:val="42D20F69"/>
    <w:rsid w:val="4411464B"/>
    <w:rsid w:val="45AB4CC4"/>
    <w:rsid w:val="46F04E55"/>
    <w:rsid w:val="47444D75"/>
    <w:rsid w:val="48EA5B32"/>
    <w:rsid w:val="4AE905BD"/>
    <w:rsid w:val="4AF905C9"/>
    <w:rsid w:val="4D3F2ADF"/>
    <w:rsid w:val="4E6E2C07"/>
    <w:rsid w:val="4EBF4055"/>
    <w:rsid w:val="4EC400D5"/>
    <w:rsid w:val="4FCA68E7"/>
    <w:rsid w:val="50E32F3E"/>
    <w:rsid w:val="54E61D80"/>
    <w:rsid w:val="56356D29"/>
    <w:rsid w:val="584B5BE4"/>
    <w:rsid w:val="59C232FC"/>
    <w:rsid w:val="5ADB6F33"/>
    <w:rsid w:val="5C57765F"/>
    <w:rsid w:val="5EB500AD"/>
    <w:rsid w:val="5FAB2C98"/>
    <w:rsid w:val="6005277B"/>
    <w:rsid w:val="65DC34B4"/>
    <w:rsid w:val="65F451AE"/>
    <w:rsid w:val="670E2815"/>
    <w:rsid w:val="673D6A15"/>
    <w:rsid w:val="67625A12"/>
    <w:rsid w:val="67F65E7C"/>
    <w:rsid w:val="682F0B15"/>
    <w:rsid w:val="6D051895"/>
    <w:rsid w:val="6FB86553"/>
    <w:rsid w:val="7128436B"/>
    <w:rsid w:val="73A42611"/>
    <w:rsid w:val="74116DB1"/>
    <w:rsid w:val="75BD3E8B"/>
    <w:rsid w:val="777519FE"/>
    <w:rsid w:val="791436BF"/>
    <w:rsid w:val="7955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 w:type="paragraph" w:customStyle="1" w:styleId="26">
    <w:name w:val="_Style 4"/>
    <w:basedOn w:val="1"/>
    <w:next w:val="25"/>
    <w:qFormat/>
    <w:uiPriority w:val="0"/>
    <w:pPr>
      <w:ind w:firstLine="420"/>
    </w:pPr>
  </w:style>
  <w:style w:type="character" w:customStyle="1" w:styleId="27">
    <w:name w:val="NormalCharacter"/>
    <w:qFormat/>
    <w:uiPriority w:val="0"/>
  </w:style>
  <w:style w:type="character" w:customStyle="1" w:styleId="28">
    <w:name w:val="font71"/>
    <w:basedOn w:val="17"/>
    <w:qFormat/>
    <w:uiPriority w:val="0"/>
    <w:rPr>
      <w:rFonts w:hint="eastAsia" w:ascii="微软雅黑" w:hAnsi="微软雅黑" w:eastAsia="微软雅黑" w:cs="微软雅黑"/>
      <w:b/>
      <w:bCs/>
      <w:color w:val="FF0000"/>
      <w:sz w:val="22"/>
      <w:szCs w:val="22"/>
      <w:u w:val="none"/>
    </w:rPr>
  </w:style>
  <w:style w:type="character" w:customStyle="1" w:styleId="29">
    <w:name w:val="font81"/>
    <w:basedOn w:val="17"/>
    <w:qFormat/>
    <w:uiPriority w:val="0"/>
    <w:rPr>
      <w:rFonts w:ascii="Arial" w:hAnsi="Arial" w:cs="Arial"/>
      <w:b/>
      <w:bCs/>
      <w:color w:val="FF0000"/>
      <w:sz w:val="22"/>
      <w:szCs w:val="22"/>
      <w:u w:val="none"/>
    </w:rPr>
  </w:style>
  <w:style w:type="character" w:customStyle="1" w:styleId="30">
    <w:name w:val="font11"/>
    <w:basedOn w:val="17"/>
    <w:qFormat/>
    <w:uiPriority w:val="0"/>
    <w:rPr>
      <w:rFonts w:hint="eastAsia" w:ascii="微软雅黑" w:hAnsi="微软雅黑" w:eastAsia="微软雅黑" w:cs="微软雅黑"/>
      <w:b/>
      <w:bCs/>
      <w:color w:val="000000"/>
      <w:sz w:val="22"/>
      <w:szCs w:val="22"/>
      <w:u w:val="none"/>
    </w:rPr>
  </w:style>
  <w:style w:type="character" w:customStyle="1" w:styleId="31">
    <w:name w:val="font41"/>
    <w:basedOn w:val="17"/>
    <w:qFormat/>
    <w:uiPriority w:val="0"/>
    <w:rPr>
      <w:rFonts w:hint="eastAsia" w:ascii="微软雅黑" w:hAnsi="微软雅黑" w:eastAsia="微软雅黑" w:cs="微软雅黑"/>
      <w:color w:val="000000"/>
      <w:sz w:val="22"/>
      <w:szCs w:val="22"/>
      <w:u w:val="none"/>
    </w:rPr>
  </w:style>
  <w:style w:type="character" w:customStyle="1" w:styleId="32">
    <w:name w:val="font51"/>
    <w:basedOn w:val="17"/>
    <w:qFormat/>
    <w:uiPriority w:val="0"/>
    <w:rPr>
      <w:rFonts w:hint="eastAsia" w:ascii="微软雅黑" w:hAnsi="微软雅黑" w:eastAsia="微软雅黑" w:cs="微软雅黑"/>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19665</Words>
  <Characters>20664</Characters>
  <Lines>0</Lines>
  <Paragraphs>0</Paragraphs>
  <TotalTime>4</TotalTime>
  <ScaleCrop>false</ScaleCrop>
  <LinksUpToDate>false</LinksUpToDate>
  <CharactersWithSpaces>22252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dcterms:modified xsi:type="dcterms:W3CDTF">2022-07-20T07:19:13Z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0DACB4423F794314B7136F8F54273DF5</vt:lpwstr>
  </property>
</Properties>
</file>