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采2022-34</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p>
    <w:p>
      <w:pPr>
        <w:jc w:val="center"/>
        <w:rPr>
          <w:rFonts w:hint="eastAsia" w:ascii="宋体"/>
          <w:b/>
          <w:w w:val="90"/>
          <w:sz w:val="44"/>
          <w:szCs w:val="44"/>
          <w:lang w:eastAsia="zh-CN"/>
        </w:rPr>
      </w:pPr>
      <w:r>
        <w:rPr>
          <w:rFonts w:hint="eastAsia" w:ascii="宋体"/>
          <w:b/>
          <w:w w:val="90"/>
          <w:sz w:val="44"/>
          <w:szCs w:val="44"/>
          <w:lang w:eastAsia="zh-CN"/>
        </w:rPr>
        <w:t>移动消毒机等一批设备</w:t>
      </w:r>
      <w:r>
        <w:rPr>
          <w:rFonts w:hint="eastAsia" w:ascii="宋体"/>
          <w:b/>
          <w:color w:val="auto"/>
          <w:w w:val="90"/>
          <w:sz w:val="44"/>
          <w:szCs w:val="44"/>
          <w:lang w:eastAsia="zh-CN"/>
        </w:rPr>
        <w:t>采</w:t>
      </w:r>
      <w:r>
        <w:rPr>
          <w:rFonts w:hint="eastAsia" w:ascii="宋体"/>
          <w:b/>
          <w:w w:val="90"/>
          <w:sz w:val="44"/>
          <w:szCs w:val="44"/>
          <w:lang w:eastAsia="zh-CN"/>
        </w:rPr>
        <w:t>购项目</w:t>
      </w:r>
    </w:p>
    <w:p>
      <w:pPr>
        <w:jc w:val="center"/>
        <w:rPr>
          <w:rFonts w:hint="eastAsia" w:ascii="宋体"/>
          <w:b/>
          <w:w w:val="90"/>
          <w:sz w:val="44"/>
          <w:szCs w:val="44"/>
          <w:lang w:eastAsia="zh-CN"/>
        </w:rPr>
      </w:pP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6</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采2022-34</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移动消毒机等一批设备</w:t>
      </w:r>
      <w:r>
        <w:rPr>
          <w:rFonts w:hint="eastAsia" w:ascii="宋体" w:hAnsi="宋体" w:eastAsia="宋体" w:cs="宋体"/>
          <w:color w:val="000000"/>
          <w:kern w:val="0"/>
          <w:sz w:val="24"/>
          <w:szCs w:val="24"/>
          <w:lang w:val="en-US" w:eastAsia="zh-CN" w:bidi="ar"/>
        </w:rPr>
        <w:t>采购项目</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102.32</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102.32</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spacing w:line="540" w:lineRule="exact"/>
        <w:ind w:firstLine="480" w:firstLineChars="200"/>
        <w:rPr>
          <w:rFonts w:hint="eastAsia" w:ascii="宋体" w:hAnsi="宋体"/>
          <w:sz w:val="24"/>
          <w:szCs w:val="22"/>
          <w:lang w:val="en-US" w:eastAsia="zh-CN"/>
        </w:rPr>
      </w:pPr>
      <w:r>
        <w:rPr>
          <w:rFonts w:hint="eastAsia" w:ascii="宋体" w:hAnsi="宋体"/>
          <w:sz w:val="24"/>
          <w:szCs w:val="22"/>
        </w:rPr>
        <w:t>3.本项目的特定资格要求：</w:t>
      </w:r>
      <w:r>
        <w:rPr>
          <w:rFonts w:hint="eastAsia" w:ascii="宋体" w:hAnsi="宋体"/>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pPr>
        <w:pStyle w:val="21"/>
        <w:spacing w:line="440" w:lineRule="exact"/>
        <w:rPr>
          <w:rFonts w:hint="eastAsia" w:ascii="宋体" w:hAnsi="宋体" w:eastAsia="宋体" w:cs="Times New Roman"/>
          <w:b w:val="0"/>
          <w:bCs w:val="0"/>
          <w:sz w:val="24"/>
          <w:lang w:val="en-US" w:eastAsia="zh-CN"/>
        </w:rPr>
      </w:pP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6</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25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6</w:t>
      </w:r>
      <w:r>
        <w:rPr>
          <w:rFonts w:hint="eastAsia" w:ascii="宋体" w:hAnsi="宋体"/>
          <w:color w:val="auto"/>
          <w:sz w:val="24"/>
        </w:rPr>
        <w:t>月</w:t>
      </w:r>
      <w:r>
        <w:rPr>
          <w:rFonts w:hint="eastAsia" w:ascii="宋体" w:hAnsi="宋体"/>
          <w:color w:val="auto"/>
          <w:sz w:val="24"/>
          <w:u w:val="single"/>
          <w:lang w:val="en-US" w:eastAsia="zh-CN"/>
        </w:rPr>
        <w:t>30</w:t>
      </w:r>
      <w:r>
        <w:rPr>
          <w:rFonts w:hint="eastAsia" w:ascii="宋体" w:hAnsi="宋体"/>
          <w:color w:val="auto"/>
          <w:sz w:val="24"/>
        </w:rPr>
        <w:t>日</w:t>
      </w:r>
      <w:r>
        <w:rPr>
          <w:rFonts w:hint="eastAsia" w:ascii="宋体" w:hAnsi="宋体"/>
          <w:color w:val="auto"/>
          <w:sz w:val="24"/>
          <w:lang w:val="en-US" w:eastAsia="zh-CN"/>
        </w:rPr>
        <w:t>18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7 </w:t>
      </w:r>
      <w:r>
        <w:rPr>
          <w:rFonts w:hint="eastAsia" w:ascii="宋体" w:hAnsi="宋体" w:cs="宋体"/>
          <w:b/>
          <w:color w:val="auto"/>
          <w:sz w:val="24"/>
        </w:rPr>
        <w:t>月</w:t>
      </w:r>
      <w:r>
        <w:rPr>
          <w:rFonts w:hint="eastAsia" w:ascii="宋体" w:hAnsi="宋体" w:cs="宋体"/>
          <w:b/>
          <w:color w:val="auto"/>
          <w:sz w:val="24"/>
          <w:lang w:val="en-US" w:eastAsia="zh-CN"/>
        </w:rPr>
        <w:t xml:space="preserve"> 1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7</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1</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7</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甘老师  </w:t>
      </w:r>
      <w:r>
        <w:rPr>
          <w:rFonts w:hint="eastAsia"/>
          <w:sz w:val="24"/>
          <w:lang w:val="en-US" w:eastAsia="zh-CN"/>
        </w:rPr>
        <w:tab/>
      </w:r>
    </w:p>
    <w:p>
      <w:pPr>
        <w:pStyle w:val="21"/>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15708268077     13882608658  </w:t>
      </w:r>
    </w:p>
    <w:p>
      <w:pPr>
        <w:pStyle w:val="21"/>
        <w:spacing w:line="440" w:lineRule="exact"/>
        <w:ind w:firstLine="1200" w:firstLineChars="500"/>
        <w:rPr>
          <w:rFonts w:hint="default"/>
          <w:sz w:val="24"/>
          <w:lang w:val="en-US" w:eastAsia="zh-CN"/>
        </w:rPr>
      </w:pPr>
    </w:p>
    <w:p>
      <w:pPr>
        <w:pStyle w:val="15"/>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6</w:t>
      </w:r>
      <w:bookmarkStart w:id="34" w:name="_GoBack"/>
      <w:bookmarkEnd w:id="34"/>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2"/>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2"/>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2"/>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2"/>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2"/>
              <w:ind w:firstLine="220" w:firstLineChars="100"/>
              <w:jc w:val="both"/>
              <w:rPr>
                <w:rFonts w:hint="eastAsia"/>
                <w:sz w:val="22"/>
                <w:szCs w:val="22"/>
                <w:lang w:val="zh-CN"/>
              </w:rPr>
            </w:pPr>
            <w:r>
              <w:rPr>
                <w:rFonts w:hint="eastAsia"/>
                <w:sz w:val="22"/>
                <w:szCs w:val="22"/>
                <w:lang w:val="zh-CN"/>
              </w:rPr>
              <w:t>收款单位：邻水县财政局。</w:t>
            </w:r>
          </w:p>
          <w:p>
            <w:pPr>
              <w:pStyle w:val="22"/>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2"/>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2"/>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2"/>
              <w:ind w:firstLine="220" w:firstLineChars="100"/>
              <w:jc w:val="both"/>
              <w:rPr>
                <w:rFonts w:hint="eastAsia"/>
                <w:sz w:val="22"/>
                <w:szCs w:val="22"/>
                <w:lang w:val="zh-CN"/>
              </w:rPr>
            </w:pPr>
            <w:r>
              <w:rPr>
                <w:rFonts w:hint="eastAsia"/>
                <w:sz w:val="22"/>
                <w:szCs w:val="22"/>
                <w:lang w:val="zh-CN"/>
              </w:rPr>
              <w:t>注：提供保函的的担保机构必须是中国银行、工商银行、农业银行</w:t>
            </w:r>
            <w:r>
              <w:rPr>
                <w:rFonts w:hint="eastAsia"/>
                <w:sz w:val="22"/>
                <w:szCs w:val="22"/>
                <w:highlight w:val="none"/>
                <w:lang w:val="zh-CN"/>
              </w:rPr>
              <w:t>或</w:t>
            </w:r>
            <w:r>
              <w:rPr>
                <w:rFonts w:hint="eastAsia"/>
                <w:sz w:val="22"/>
                <w:szCs w:val="22"/>
                <w:lang w:val="zh-CN"/>
              </w:rPr>
              <w:t>建设银行，否则将取消成交资格，采购人将重新确定成交供应商，并依法追究法律责任。</w:t>
            </w:r>
          </w:p>
          <w:p>
            <w:pPr>
              <w:pStyle w:val="22"/>
              <w:ind w:firstLine="220" w:firstLineChars="100"/>
              <w:jc w:val="both"/>
              <w:rPr>
                <w:rFonts w:hint="eastAsia"/>
                <w:sz w:val="22"/>
                <w:szCs w:val="22"/>
                <w:lang w:val="zh-CN"/>
              </w:rPr>
            </w:pPr>
            <w:r>
              <w:rPr>
                <w:rFonts w:hint="eastAsia"/>
                <w:sz w:val="22"/>
                <w:szCs w:val="22"/>
                <w:lang w:val="zh-CN"/>
              </w:rPr>
              <w:t>履约保证金退还方式：书面申请。</w:t>
            </w:r>
          </w:p>
          <w:p>
            <w:pPr>
              <w:pStyle w:val="22"/>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2"/>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2"/>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2"/>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5215"/>
      <w:bookmarkStart w:id="7" w:name="_Toc17067"/>
      <w:bookmarkStart w:id="8" w:name="_Toc31240"/>
      <w:bookmarkStart w:id="9" w:name="_Toc13038"/>
      <w:bookmarkStart w:id="10" w:name="_Toc2429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移动式消毒机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250646"/>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spacing w:line="540" w:lineRule="exact"/>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pPr>
        <w:pStyle w:val="21"/>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217446056"/>
      <w:bookmarkStart w:id="19" w:name="_Toc183582231"/>
      <w:bookmarkStart w:id="20" w:name="_Toc8907587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（所有参数都是实质性参数，不允许负偏离；各位投标人必须在技术应答表或商务应答表里面逐条详细应答，否则视为无效投标）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w:t>
      </w:r>
      <w:r>
        <w:rPr>
          <w:rFonts w:hint="eastAsia" w:ascii="宋体" w:hAnsi="宋体" w:cs="宋体"/>
          <w:color w:val="000000"/>
          <w:kern w:val="2"/>
          <w:sz w:val="24"/>
          <w:szCs w:val="24"/>
          <w:lang w:val="en-US" w:eastAsia="zh-CN" w:bidi="ar-SA"/>
        </w:rPr>
        <w:t>临床</w:t>
      </w:r>
      <w:r>
        <w:rPr>
          <w:rFonts w:hint="eastAsia" w:ascii="宋体" w:hAnsi="宋体" w:eastAsia="宋体" w:cs="宋体"/>
          <w:color w:val="000000"/>
          <w:kern w:val="2"/>
          <w:sz w:val="24"/>
          <w:szCs w:val="24"/>
          <w:lang w:val="en-US" w:eastAsia="zh-CN" w:bidi="ar-SA"/>
        </w:rPr>
        <w:t>工作需要，需购置</w:t>
      </w:r>
      <w:r>
        <w:rPr>
          <w:rFonts w:hint="eastAsia" w:ascii="宋体" w:hAnsi="宋体" w:cs="宋体"/>
          <w:color w:val="000000"/>
          <w:kern w:val="2"/>
          <w:sz w:val="24"/>
          <w:szCs w:val="24"/>
          <w:lang w:val="en-US" w:eastAsia="zh-CN" w:bidi="ar-SA"/>
        </w:rPr>
        <w:t>一批设备</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7"/>
        <w:tblW w:w="7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4143"/>
        <w:gridCol w:w="101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9"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4143"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019"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986"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w:t>
            </w:r>
          </w:p>
        </w:tc>
        <w:tc>
          <w:tcPr>
            <w:tcW w:w="4143"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抢救车</w:t>
            </w:r>
          </w:p>
        </w:tc>
        <w:tc>
          <w:tcPr>
            <w:tcW w:w="1019"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2</w:t>
            </w:r>
          </w:p>
        </w:tc>
        <w:tc>
          <w:tcPr>
            <w:tcW w:w="4143"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移动式消毒机</w:t>
            </w:r>
          </w:p>
        </w:tc>
        <w:tc>
          <w:tcPr>
            <w:tcW w:w="1019"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3</w:t>
            </w:r>
          </w:p>
        </w:tc>
        <w:tc>
          <w:tcPr>
            <w:tcW w:w="4143"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平车</w:t>
            </w:r>
          </w:p>
        </w:tc>
        <w:tc>
          <w:tcPr>
            <w:tcW w:w="1019"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4</w:t>
            </w:r>
          </w:p>
        </w:tc>
        <w:tc>
          <w:tcPr>
            <w:tcW w:w="4143"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治疗车</w:t>
            </w:r>
          </w:p>
        </w:tc>
        <w:tc>
          <w:tcPr>
            <w:tcW w:w="1019"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5</w:t>
            </w:r>
          </w:p>
        </w:tc>
        <w:tc>
          <w:tcPr>
            <w:tcW w:w="4143"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护理车</w:t>
            </w:r>
          </w:p>
        </w:tc>
        <w:tc>
          <w:tcPr>
            <w:tcW w:w="1019"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6</w:t>
            </w:r>
          </w:p>
        </w:tc>
        <w:tc>
          <w:tcPr>
            <w:tcW w:w="4143"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床单元消毒机</w:t>
            </w:r>
          </w:p>
        </w:tc>
        <w:tc>
          <w:tcPr>
            <w:tcW w:w="1019"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9" w:type="dxa"/>
            <w:shd w:val="clear" w:color="auto" w:fill="auto"/>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7</w:t>
            </w:r>
          </w:p>
        </w:tc>
        <w:tc>
          <w:tcPr>
            <w:tcW w:w="4143"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可视喉镜</w:t>
            </w:r>
          </w:p>
        </w:tc>
        <w:tc>
          <w:tcPr>
            <w:tcW w:w="1019"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台</w:t>
            </w:r>
          </w:p>
        </w:tc>
        <w:tc>
          <w:tcPr>
            <w:tcW w:w="98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6</w:t>
            </w:r>
          </w:p>
        </w:tc>
      </w:tr>
    </w:tbl>
    <w:p>
      <w:pPr>
        <w:pStyle w:val="5"/>
        <w:numPr>
          <w:ilvl w:val="0"/>
          <w:numId w:val="3"/>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numPr>
          <w:ilvl w:val="0"/>
          <w:numId w:val="4"/>
        </w:numPr>
        <w:ind w:left="0" w:leftChars="0" w:firstLine="0" w:firstLineChars="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3"/>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床单元消毒机</w:t>
      </w:r>
      <w:r>
        <w:rPr>
          <w:rFonts w:hint="eastAsia" w:ascii="宋体" w:hAnsi="宋体" w:eastAsia="宋体" w:cs="宋体"/>
          <w:b w:val="0"/>
          <w:color w:val="auto"/>
          <w:kern w:val="2"/>
          <w:sz w:val="24"/>
          <w:szCs w:val="24"/>
          <w:lang w:val="en-US" w:eastAsia="zh-CN" w:bidi="ar-SA"/>
        </w:rPr>
        <w:t xml:space="preserve">   </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1、开机15min，臭氧输出浓度：≥500mg/m³，提供检测报告。</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2、床袋（或罩）密闭时臭氧泄漏≤0.1mg/m3。</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3、机身采用简洁流畅的外型设计，外壳采用优质阻燃复合材料ABS工程塑料，表面光滑。模具一体成型保证了产品的一致性；</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4、结构形式：移动式底部有3个供移动的滑轮，设备顶部有方便推动的一体成型把手；背部有不少于2个专用储存柜而非网兜，用于存放床罩、床袋、抽气与充气管路、可拆卸的制式电源线。</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5、检修的便捷性：设备主要部件（臭氧发生装置、电动球阀等）可从设备底部抽拉出来；控制板等电控系统，可以通过顶部机盖轻松取出，即可实现方便地检修。</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6、消毒程序为自动控制，一键启动操作，无需人工值守。</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7、采用专用抽、充气技术，使臭氧能更好地渗透到物体内部消毒</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8、能有效去除附着在物体上的各种异味、血腥味、霉味、大小便味等。对消毒物品有增白的作用</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9、设备程序运行采用抽气-消毒-密闭-解析的模式，各个程序阶段时间均可根据实际需求预先手动设置，设置范围为0~999min，可轻松完成个性化的消毒需求且操作简便。</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10、输入功率：≤140W，宽电压设计，适用于电压波动的地方使用。</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11、正常工作条件：</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1)供电电源：a.c. 220V±22V  50Hz±1Hz </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2)相对湿度：＜85%</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3)环境温度：5℃～40℃       </w:t>
      </w:r>
    </w:p>
    <w:p>
      <w:pPr>
        <w:pStyle w:val="3"/>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4)大气压力： 70kPa～106kPa</w:t>
      </w:r>
    </w:p>
    <w:p>
      <w:pPr>
        <w:numPr>
          <w:ilvl w:val="0"/>
          <w:numId w:val="0"/>
        </w:numPr>
        <w:ind w:leftChars="0"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12、整机外形尺寸≤长614×宽545×高973mm，不占用过多面积。</w:t>
      </w:r>
    </w:p>
    <w:p>
      <w:pPr>
        <w:pStyle w:val="2"/>
        <w:rPr>
          <w:rFonts w:hint="eastAsia"/>
          <w:lang w:val="en-US" w:eastAsia="zh-CN"/>
        </w:rPr>
      </w:pPr>
    </w:p>
    <w:p>
      <w:pPr>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抢救车</w:t>
      </w:r>
    </w:p>
    <w:p>
      <w:pPr>
        <w:pStyle w:val="2"/>
        <w:rPr>
          <w:rFonts w:hint="eastAsia"/>
          <w:lang w:val="en-US" w:eastAsia="zh-CN"/>
        </w:rPr>
      </w:pP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1.车体主要由塑、铝、钢结构组成；ABS注塑模具成型工艺台面，易清洁；塑钢四柱承重。</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2.上部：ABS注塑工艺成型台面，台面实用尺寸:512*433*12mm，两侧带有扶手，专业锐器盒，可左右任意摆放，凹陷设计可防止物品滑落，304材质不锈钢护栏，台面上配透明软玻璃。</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3.正面：中控锁，配置有五层抽屉，第一二层小抽面80mm内空：424*375*68mm，两中抽面120mm内空：424*375*110mm，一深抽面240mm内空：424*375*220mm，抽屉内 3*3分隔片，可自由分隔，抽屉拉手为红色燕尾款式、封口插槽式标识牌、防止液体及灰尘进入；标签式面积根据人体工程学原理设计、插槽式向上倾斜便于观望、拉手内层模具加厚手感更加踏实。</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4.左侧：隐藏式伸缩副工作台、档案盒。</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5.右侧：配有隐藏式伸缩输液架、ABS双污物桶分色。</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6.背部：除颤板，氧气瓶支架，活动5米电源线。</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7.底部：豪华万向插入式静音轮，其中两只带刹车功能，脚轮材料为高强度聚氨酯。防静电、防毛发缠绕、移动轻便灵活。</w:t>
      </w:r>
    </w:p>
    <w:p>
      <w:pPr>
        <w:pStyle w:val="2"/>
        <w:rPr>
          <w:rFonts w:hint="eastAsia" w:ascii="宋体" w:hAnsi="宋体" w:eastAsia="宋体" w:cs="宋体"/>
          <w:b w:val="0"/>
          <w:color w:val="auto"/>
          <w:kern w:val="2"/>
          <w:sz w:val="24"/>
          <w:szCs w:val="24"/>
          <w:lang w:val="en-US" w:eastAsia="zh-CN" w:bidi="ar-SA"/>
        </w:rPr>
      </w:pPr>
    </w:p>
    <w:p>
      <w:pPr>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护理车</w:t>
      </w:r>
    </w:p>
    <w:p>
      <w:pPr>
        <w:pStyle w:val="2"/>
        <w:rPr>
          <w:rFonts w:hint="eastAsia" w:ascii="宋体" w:hAnsi="宋体" w:eastAsia="宋体" w:cs="宋体"/>
          <w:b w:val="0"/>
          <w:color w:val="auto"/>
          <w:kern w:val="2"/>
          <w:sz w:val="24"/>
          <w:szCs w:val="24"/>
          <w:lang w:val="en-US" w:eastAsia="zh-CN" w:bidi="ar-SA"/>
        </w:rPr>
      </w:pPr>
    </w:p>
    <w:p>
      <w:p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规格：（900~960）*（500~550）*（800~850）mm</w:t>
      </w:r>
    </w:p>
    <w:p>
      <w:p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1.采用304优质不锈钢板, 厚度不低于1.0mm。</w:t>
      </w:r>
    </w:p>
    <w:p>
      <w:p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2.立柱不锈钢管直径不小于25mm,钢管壁厚不小于1.2mm。</w:t>
      </w:r>
    </w:p>
    <w:p>
      <w:p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3.连接处氩氟焊焊接，牢固、可靠。</w:t>
      </w:r>
    </w:p>
    <w:p>
      <w:p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4.高档静音耐磨脚轮，带两个刹车。</w:t>
      </w:r>
    </w:p>
    <w:p>
      <w:p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5.优质帆布，便于拆洗。</w:t>
      </w:r>
    </w:p>
    <w:p>
      <w:pPr>
        <w:pStyle w:val="2"/>
        <w:rPr>
          <w:rFonts w:hint="eastAsia" w:ascii="宋体" w:hAnsi="宋体" w:eastAsia="宋体" w:cs="宋体"/>
          <w:b w:val="0"/>
          <w:color w:val="auto"/>
          <w:kern w:val="2"/>
          <w:sz w:val="24"/>
          <w:szCs w:val="24"/>
          <w:lang w:val="en-US" w:eastAsia="zh-CN" w:bidi="ar-SA"/>
        </w:rPr>
      </w:pPr>
    </w:p>
    <w:p>
      <w:pPr>
        <w:pStyle w:val="3"/>
        <w:rPr>
          <w:rFonts w:hint="eastAsia"/>
          <w:lang w:val="en-US" w:eastAsia="zh-CN"/>
        </w:rPr>
      </w:pPr>
    </w:p>
    <w:p>
      <w:pPr>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平车</w:t>
      </w:r>
    </w:p>
    <w:p>
      <w:pPr>
        <w:pStyle w:val="2"/>
        <w:rPr>
          <w:rFonts w:hint="eastAsia" w:ascii="宋体" w:hAnsi="宋体" w:eastAsia="宋体" w:cs="宋体"/>
          <w:b w:val="0"/>
          <w:color w:val="auto"/>
          <w:kern w:val="2"/>
          <w:sz w:val="24"/>
          <w:szCs w:val="24"/>
          <w:lang w:val="en-US" w:eastAsia="zh-CN" w:bidi="ar-SA"/>
        </w:rPr>
      </w:pP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规格：（1900~1980）*（550~620）*（750~850）mm</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1.采用304优质不锈钢管材，不锈钢钢管直径不小于32mm,钢管壁厚不小于1.2mm。</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2.床面为优质人革面材质，耐磨易清洁，可拆卸，推车左右两侧配置折叠式护栏，能方便拉起或放下。</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3.配万向耐磨静音轮2个，带刹车，配定向电动车轮2个。</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4.配输液杆，直径不小于16mm，壁厚不小于1mm。</w:t>
      </w:r>
    </w:p>
    <w:p>
      <w:pPr>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5.承重不低于150kg。</w:t>
      </w:r>
    </w:p>
    <w:p>
      <w:pPr>
        <w:pStyle w:val="2"/>
        <w:rPr>
          <w:rFonts w:hint="eastAsia" w:ascii="宋体" w:hAnsi="宋体" w:eastAsia="宋体" w:cs="宋体"/>
          <w:b w:val="0"/>
          <w:color w:val="auto"/>
          <w:kern w:val="2"/>
          <w:sz w:val="24"/>
          <w:szCs w:val="24"/>
          <w:lang w:val="en-US" w:eastAsia="zh-CN" w:bidi="ar-SA"/>
        </w:rPr>
      </w:pPr>
    </w:p>
    <w:p>
      <w:pPr>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治疗车</w:t>
      </w:r>
    </w:p>
    <w:p>
      <w:pPr>
        <w:rPr>
          <w:rFonts w:hint="eastAsia" w:ascii="宋体" w:hAnsi="宋体" w:eastAsia="宋体" w:cs="宋体"/>
          <w:b w:val="0"/>
          <w:color w:val="auto"/>
          <w:kern w:val="2"/>
          <w:sz w:val="24"/>
          <w:szCs w:val="24"/>
          <w:lang w:val="en-US" w:eastAsia="zh-CN" w:bidi="ar-SA"/>
        </w:rPr>
      </w:pPr>
    </w:p>
    <w:p>
      <w:pPr>
        <w:numPr>
          <w:ilvl w:val="0"/>
          <w:numId w:val="5"/>
        </w:num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规格：（690~750）*（460~520）*（920~950）mm</w:t>
      </w:r>
    </w:p>
    <w:p>
      <w:pPr>
        <w:numPr>
          <w:ilvl w:val="0"/>
          <w:numId w:val="5"/>
        </w:num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适用于医护人员对病人急救；</w:t>
      </w:r>
    </w:p>
    <w:p>
      <w:pPr>
        <w:numPr>
          <w:ilvl w:val="0"/>
          <w:numId w:val="5"/>
        </w:num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主体：主要由铝·钛钢·ABS工程塑料结构组成；四柱承重；</w:t>
      </w:r>
    </w:p>
    <w:p>
      <w:pPr>
        <w:numPr>
          <w:ilvl w:val="0"/>
          <w:numId w:val="5"/>
        </w:num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ABS双层底面注塑工艺成型台面，凹陷设计可防止物品滑落，台面配有304材质不锈钢护栏，台面上配透明软玻璃;两侧有花蓝，两只圆形锐气桶，两只ABS污物桶方便存放垃圾；</w:t>
      </w:r>
    </w:p>
    <w:p>
      <w:pPr>
        <w:numPr>
          <w:ilvl w:val="0"/>
          <w:numId w:val="5"/>
        </w:num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配置有一层抽屉，3*3分隔片，可自由分隔，抽屉为ABS材料，可取出；抽屉面板带标示牌；</w:t>
      </w:r>
    </w:p>
    <w:p>
      <w:pPr>
        <w:numPr>
          <w:ilvl w:val="0"/>
          <w:numId w:val="5"/>
        </w:num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豪华静音脚轮，其中两只带刹车，可在任意状态下使用刹车功能，坚固耐用，可在平整地面上任意推动，转向；</w:t>
      </w:r>
    </w:p>
    <w:p>
      <w:pPr>
        <w:pStyle w:val="2"/>
        <w:rPr>
          <w:rFonts w:hint="eastAsia" w:ascii="宋体" w:hAnsi="宋体" w:eastAsia="宋体" w:cs="宋体"/>
          <w:b w:val="0"/>
          <w:color w:val="auto"/>
          <w:kern w:val="2"/>
          <w:sz w:val="24"/>
          <w:szCs w:val="24"/>
          <w:lang w:val="en-US" w:eastAsia="zh-CN" w:bidi="ar-SA"/>
        </w:rPr>
      </w:pPr>
    </w:p>
    <w:p>
      <w:pPr>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移动式消毒机</w:t>
      </w:r>
    </w:p>
    <w:p>
      <w:pPr>
        <w:pStyle w:val="2"/>
        <w:rPr>
          <w:rFonts w:hint="eastAsia"/>
          <w:lang w:val="en-US" w:eastAsia="zh-CN"/>
        </w:rPr>
      </w:pP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1、用途：设备主要用于对室内的空气进行净化与消毒处理。</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2、物理电气参数及性能指标</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2.1工作电源: 220V±22V  50Hz±1Hz  最大输入功率（W）：80</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2.2安装使用：移动式,带四个可移动万向脚轮。</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2.3设备能通过指示灯、大尺寸液晶LCD显示屏（显示尺寸不小于W90mm*H50mm）、多个触摸按键进行图文化显示与操作。</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2.4等离子体空气消毒机内部不得装有紫外线灯杀菌。</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2.5等离子寿命：等离子体发生器和等离子体电极寿命≥29990小时（提供国家认可的第三方权威检测机构出具的检测报告）</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2.6等离子密度分布：≥3.26X1017～4.78X1017m3（提供国家认可的第三方权威检测机构出具的检测报告）</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3、设备的数据服务功能</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3.1协助用户建立基于大数据的智慧物联网服务云平台，可以实现空气消毒机（不限于此）等感控设备、临床科室、感控管理部门、设备管理部门、设备厂家、厂家售后服务机构间的高效协同，提升管理效率。</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3.2具有智慧物联网云服务功能，能从WEB端上远程监测查看全院空气消毒设备的设备分布、历史数据、运行状态、报警消息、运行模式，程控设置、保养信息。</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3.3支持设备的物联网自动报修功能； </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3.4具有消息中心功能，可分别接收物联网设备消息、科室任务、系统消息； </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3.5随时查询设备资产档案、质保期限；随时查询每台设备、配件的信息和状态，以便及时进行设备的定期保养、维护等活动。</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3.6系统能自动记录每台设备的消毒使用记录；能从电脑WEB端报表查看、筛选（按科室、按时间段）、导出、打印每台设备的消毒使用记录报表；</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3.7具有人员权限的分配管理功能，可以实现分科室管理。角色至少包括临床科室、感控管理、设备管理三个角色。</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3.8为了适应用户当前及未来发展需要，系统能自动监控全院全部的空气净化消毒设备数据，同时支持设备管理和感控管理功能，不受建筑的布局和距离限制。</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3.9网络条件与安全</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3.9.1不需要用户现场自备有线网络、无线网络等基础设施作为使用条件；同时了为了减少网络建设施工作业对临床业务活动的干扰，鼓励采用无线广域网技术上实现设备管理。</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3.9.2不会因网络用户名、密码的变化，设备后续移机使用而引发设备无法联网管理。鼓励采用通讯运营商级网络安全架构，避免自行建设的局限网存在的安全风险。</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4、基本参数要求</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4.1适用体积（m3）：≤100</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4.2消毒效果：设备持续工作1小时，对白色葡萄球菌（8032）的杀灭率≥99.90%，对空气中自然菌的消亡率≥90.00%，对H1N1去除率≥99.9%（提供国家认可的第三方权威检测机构出具的同系列机型检测报告）</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4.3臭氧残留量检测：设备持续工作1小时，房间空气中臭氧残留量为≤0.16mg/m3（提供国家认可的第三方权威检测机构出具的检测报告）</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4.4多级过滤净化功能：配合等离子，可去除烟雾、甲醛、氨、苯，清新空气。</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4.5能通过红外遥控对设备进行开关机操作和设定档位等。</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4.6多档风速可调</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4.7功能性方面，具有如下功能（提供国家认可的第三方权威检测机构出具的检测报告）：</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（1）消毒选择功能，具有手动消毒、程控消毒、自动消毒；</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（2）消毒设置功能，具有手动消毒设置、程控消毒设置；</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（3）运行参数，具有风机调速功能；</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（4）待机参数，具有累计工作时间、过滤网使用时间清零、时钟设置、空气质量与洁净度、湿度、温度；</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（5）报警提示，至少具有滤网过期、风机故障、等离子故障。</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4.8工作模式：支持手动模式、自动模式、定时程控模式。</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4.9程控数量：程控程序数量不少于5组。</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4.10智能提示功能：具备等离子故障报警、滤网过期提示功能。</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4.11循环风量（m3/h）：≥800</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4.12噪音dB（A）：≤60</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5、安全、法规及技术先进性</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5.1产品应符合相关医疗卫生标准和规范，提供卫生安全评价报告。</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5.2空气消毒机采用自主知识产权的嵌入式软件（要求提供软件著作权登记证复印件）；同时具有权威第三方实验室出具的嵌入式软件产品检测报告，证实空气消毒机软件的功能性、安全可靠性、易用性、易安装性、适应性。证实用户文档的完整性、正确性、一致性、易理解性、易浏览性。</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5.3物联网服务云平台，具有自主知识产权（要求提供软件著作权登记证复印件）；同时具有第三方权威实验室出具的独立的软件产品检测报告，证明确实具有上述服务功能，能证明云平台的功能性、信息安全性、可靠性、维护性、易用性、可移植性。</w:t>
      </w:r>
    </w:p>
    <w:p>
      <w:pPr>
        <w:numPr>
          <w:ilvl w:val="0"/>
          <w:numId w:val="0"/>
        </w:numPr>
        <w:ind w:left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5.4 要求针对医院实际，提供详细可行的书面方案书。检查方案的先进性、可行性、充分必要性。</w:t>
      </w:r>
    </w:p>
    <w:p>
      <w:pPr>
        <w:pStyle w:val="2"/>
        <w:rPr>
          <w:rFonts w:hint="eastAsia" w:ascii="宋体" w:hAnsi="宋体" w:eastAsia="宋体" w:cs="宋体"/>
          <w:b w:val="0"/>
          <w:color w:val="auto"/>
          <w:kern w:val="2"/>
          <w:sz w:val="24"/>
          <w:szCs w:val="24"/>
          <w:lang w:val="en-US" w:eastAsia="zh-CN" w:bidi="ar-SA"/>
        </w:rPr>
      </w:pPr>
    </w:p>
    <w:p>
      <w:pPr>
        <w:pStyle w:val="3"/>
        <w:rPr>
          <w:rFonts w:hint="eastAsia" w:ascii="宋体" w:hAnsi="宋体" w:eastAsia="宋体" w:cs="宋体"/>
          <w:b w:val="0"/>
          <w:color w:val="auto"/>
          <w:kern w:val="2"/>
          <w:sz w:val="24"/>
          <w:szCs w:val="24"/>
          <w:lang w:val="en-US" w:eastAsia="zh-CN" w:bidi="ar-SA"/>
        </w:rPr>
      </w:pPr>
    </w:p>
    <w:p>
      <w:pPr>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可视喉镜</w:t>
      </w:r>
    </w:p>
    <w:p>
      <w:pPr>
        <w:pStyle w:val="2"/>
        <w:rPr>
          <w:rFonts w:hint="eastAsia"/>
          <w:lang w:val="en-US"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1、整机由喉镜片和显示器两部分组成，整机具有拍照录像、数据存取功能。</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2、显示器能上下0º～130º转动，左右0º～270º转动。</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3、渐缩型镜片前端厚度：16mm。</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4、镜片角度：42度；视场角60º±15%。</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5、液晶屏像素：320*240 PIX</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6、景深：5-100mm</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7、喉镜片因需要与人体接触，故要求接触部件采用聚醚酰亚胺或聚碳酸酯制成，可反复消毒使用。</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8、镜片手柄与显示组件的连接：采用双环卡槽式连接</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9、纺锤型短手柄设计，握持舒适</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10、具有特殊防雾功能</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11、具备拍照录像功能，数据存储，32G内存卡，拍照数量大于40万张，录像时间大于16小时</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12、充电器输入：100-240VAC,50-60HZ</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13、充电器输出：5V，1000mA</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14、充电时间：＜3小时</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15、持续放电时间：＞4小时</w:t>
      </w:r>
    </w:p>
    <w:p>
      <w:pPr>
        <w:keepNext w:val="0"/>
        <w:keepLines w:val="0"/>
        <w:pageBreakBefore w:val="0"/>
        <w:kinsoku/>
        <w:wordWrap/>
        <w:overflowPunct/>
        <w:topLinePunct w:val="0"/>
        <w:bidi w:val="0"/>
        <w:snapToGrid/>
        <w:spacing w:line="240" w:lineRule="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16、充电次数：＞300次</w:t>
      </w:r>
    </w:p>
    <w:p>
      <w:pPr>
        <w:pStyle w:val="7"/>
        <w:ind w:left="0" w:leftChars="0" w:firstLine="0" w:firstLineChars="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17、内置可充电式锂电子聚合物电池(2300mAh)</w:t>
      </w:r>
    </w:p>
    <w:p>
      <w:pPr>
        <w:pStyle w:val="2"/>
        <w:rPr>
          <w:rFonts w:hint="eastAsia" w:ascii="宋体" w:hAnsi="宋体" w:eastAsia="宋体" w:cs="宋体"/>
          <w:b w:val="0"/>
          <w:color w:val="auto"/>
          <w:kern w:val="2"/>
          <w:sz w:val="24"/>
          <w:szCs w:val="24"/>
          <w:lang w:val="en-US" w:eastAsia="zh-CN" w:bidi="ar-SA"/>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w:t>
      </w:r>
      <w:r>
        <w:rPr>
          <w:rFonts w:hint="eastAsia" w:cs="宋体"/>
          <w:kern w:val="0"/>
          <w:sz w:val="24"/>
          <w:lang w:eastAsia="zh-CN"/>
        </w:rPr>
        <w:t>。</w:t>
      </w:r>
      <w:r>
        <w:rPr>
          <w:rFonts w:hint="eastAsia" w:cs="宋体"/>
          <w:kern w:val="0"/>
          <w:sz w:val="24"/>
          <w:lang w:val="en-US" w:eastAsia="zh-CN"/>
        </w:rPr>
        <w:t>设备</w:t>
      </w:r>
      <w:r>
        <w:rPr>
          <w:rFonts w:hint="eastAsia" w:hAnsi="宋体" w:cs="宋体"/>
          <w:kern w:val="0"/>
          <w:sz w:val="24"/>
        </w:rPr>
        <w:t>质保期</w:t>
      </w:r>
      <w:r>
        <w:rPr>
          <w:rFonts w:hint="eastAsia" w:cs="宋体"/>
          <w:kern w:val="0"/>
          <w:sz w:val="24"/>
          <w:lang w:val="en-US" w:eastAsia="zh-CN"/>
        </w:rPr>
        <w:t>1</w:t>
      </w:r>
      <w:r>
        <w:rPr>
          <w:rFonts w:hint="eastAsia" w:hAnsi="宋体" w:cs="宋体"/>
          <w:kern w:val="0"/>
          <w:sz w:val="24"/>
        </w:rPr>
        <w:t>年</w:t>
      </w:r>
      <w:r>
        <w:rPr>
          <w:rFonts w:hint="eastAsia" w:cs="宋体"/>
          <w:kern w:val="0"/>
          <w:sz w:val="24"/>
          <w:lang w:eastAsia="zh-CN"/>
        </w:rPr>
        <w:t>或</w:t>
      </w:r>
      <w:r>
        <w:rPr>
          <w:rFonts w:hint="eastAsia" w:cs="宋体"/>
          <w:kern w:val="0"/>
          <w:sz w:val="24"/>
          <w:lang w:val="en-US" w:eastAsia="zh-CN"/>
        </w:rPr>
        <w:t>1年</w:t>
      </w:r>
      <w:r>
        <w:rPr>
          <w:rFonts w:hint="eastAsia" w:hAnsi="宋体" w:cs="宋体"/>
          <w:kern w:val="0"/>
          <w:sz w:val="24"/>
        </w:rPr>
        <w:t>以上</w:t>
      </w:r>
      <w:r>
        <w:rPr>
          <w:rFonts w:hint="eastAsia" w:cs="宋体"/>
          <w:kern w:val="0"/>
          <w:sz w:val="24"/>
          <w:lang w:eastAsia="zh-CN"/>
        </w:rPr>
        <w:t>，</w:t>
      </w:r>
      <w:r>
        <w:rPr>
          <w:rFonts w:hint="eastAsia" w:hAnsi="宋体" w:cs="宋体"/>
          <w:kern w:val="0"/>
          <w:sz w:val="24"/>
        </w:rPr>
        <w:t>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1、完成时间：中标公告结束后</w:t>
      </w:r>
      <w:r>
        <w:rPr>
          <w:rFonts w:hint="eastAsia" w:cs="宋体"/>
          <w:kern w:val="0"/>
          <w:sz w:val="24"/>
          <w:lang w:val="en-US" w:eastAsia="zh-CN"/>
        </w:rPr>
        <w:t>45</w:t>
      </w:r>
      <w:r>
        <w:rPr>
          <w:rFonts w:hint="eastAsia" w:hAnsi="宋体" w:cs="宋体"/>
          <w:kern w:val="0"/>
          <w:sz w:val="24"/>
        </w:rPr>
        <w:t>个工作日</w:t>
      </w:r>
      <w:r>
        <w:rPr>
          <w:rFonts w:hint="eastAsia" w:cs="宋体"/>
          <w:kern w:val="0"/>
          <w:sz w:val="24"/>
          <w:lang w:eastAsia="zh-CN"/>
        </w:rPr>
        <w:t>内</w:t>
      </w:r>
      <w:r>
        <w:rPr>
          <w:rFonts w:hint="eastAsia" w:hAnsi="宋体" w:cs="宋体"/>
          <w:kern w:val="0"/>
          <w:sz w:val="24"/>
        </w:rPr>
        <w:t>交付使用。</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p>
    <w:p>
      <w:pPr>
        <w:pStyle w:val="7"/>
        <w:spacing w:line="500" w:lineRule="exact"/>
        <w:ind w:firstLine="480"/>
        <w:rPr>
          <w:rFonts w:hint="eastAsia" w:hAnsi="宋体" w:cs="宋体"/>
          <w:kern w:val="0"/>
          <w:sz w:val="24"/>
        </w:rPr>
      </w:pPr>
      <w:r>
        <w:rPr>
          <w:rFonts w:hint="eastAsia" w:hAnsi="宋体" w:cs="宋体"/>
          <w:kern w:val="0"/>
          <w:sz w:val="24"/>
        </w:rPr>
        <w:t>验收合格后15日内付合同总价的</w:t>
      </w:r>
      <w:r>
        <w:rPr>
          <w:rFonts w:hint="eastAsia" w:cs="宋体"/>
          <w:kern w:val="0"/>
          <w:sz w:val="24"/>
          <w:lang w:val="en-US" w:eastAsia="zh-CN"/>
        </w:rPr>
        <w:t>5</w:t>
      </w:r>
      <w:r>
        <w:rPr>
          <w:rFonts w:hint="eastAsia" w:hAnsi="宋体" w:cs="宋体"/>
          <w:kern w:val="0"/>
          <w:sz w:val="24"/>
        </w:rPr>
        <w:t>0% ，</w:t>
      </w:r>
      <w:r>
        <w:rPr>
          <w:rFonts w:hint="eastAsia" w:hAnsi="宋体" w:cs="宋体"/>
          <w:kern w:val="0"/>
          <w:sz w:val="24"/>
          <w:lang w:val="en-US" w:eastAsia="zh-CN"/>
        </w:rPr>
        <w:t>180日后付40%，质保期满付10%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在规定时间内网上发送邮件</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19"/>
        <w:rFonts w:hint="eastAsia" w:ascii="Times New Roman" w:hAnsi="Times New Roman" w:eastAsia="宋体" w:cs="Times New Roman"/>
      </w:rPr>
    </w:pPr>
  </w:p>
  <w:p>
    <w:pPr>
      <w:pStyle w:val="11"/>
      <w:framePr w:wrap="around" w:vAnchor="text" w:hAnchor="margin" w:xAlign="outside" w:y="1"/>
      <w:rPr>
        <w:rStyle w:val="19"/>
        <w:rFonts w:hint="eastAsia" w:ascii="Times New Roman" w:hAnsi="Times New Roman" w:eastAsia="宋体" w:cs="Times New Roman"/>
      </w:rPr>
    </w:pPr>
  </w:p>
  <w:p>
    <w:pPr>
      <w:pStyle w:val="11"/>
      <w:framePr w:wrap="around" w:vAnchor="text" w:hAnchor="margin" w:xAlign="outside" w:y="1"/>
      <w:rPr>
        <w:rStyle w:val="19"/>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19"/>
        <w:rFonts w:hint="eastAsia"/>
      </w:rPr>
    </w:pPr>
  </w:p>
  <w:p>
    <w:pPr>
      <w:pStyle w:val="11"/>
      <w:framePr w:wrap="around" w:vAnchor="text" w:hAnchor="margin" w:xAlign="outside" w:y="1"/>
      <w:rPr>
        <w:rStyle w:val="19"/>
        <w:rFonts w:hint="eastAsia"/>
      </w:rPr>
    </w:pPr>
  </w:p>
  <w:p>
    <w:pPr>
      <w:pStyle w:val="11"/>
      <w:framePr w:wrap="around" w:vAnchor="text" w:hAnchor="margin" w:xAlign="outside" w:y="1"/>
      <w:rPr>
        <w:rStyle w:val="19"/>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35AF7F1"/>
    <w:multiLevelType w:val="singleLevel"/>
    <w:tmpl w:val="535AF7F1"/>
    <w:lvl w:ilvl="0" w:tentative="0">
      <w:start w:val="1"/>
      <w:numFmt w:val="decimal"/>
      <w:suff w:val="nothing"/>
      <w:lvlText w:val="%1、"/>
      <w:lvlJc w:val="left"/>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8016C"/>
    <w:multiLevelType w:val="singleLevel"/>
    <w:tmpl w:val="5A68016C"/>
    <w:lvl w:ilvl="0" w:tentative="0">
      <w:start w:val="2"/>
      <w:numFmt w:val="decimal"/>
      <w:suff w:val="nothing"/>
      <w:lvlText w:val="%1、"/>
      <w:lvlJc w:val="left"/>
      <w:pPr>
        <w:ind w:left="481" w:firstLine="0"/>
      </w:pPr>
    </w:lvl>
  </w:abstractNum>
  <w:abstractNum w:abstractNumId="6">
    <w:nsid w:val="5A7124DB"/>
    <w:multiLevelType w:val="singleLevel"/>
    <w:tmpl w:val="5A7124DB"/>
    <w:lvl w:ilvl="0" w:tentative="0">
      <w:start w:val="6"/>
      <w:numFmt w:val="chineseCounting"/>
      <w:suff w:val="nothing"/>
      <w:lvlText w:val="%1、"/>
      <w:lvlJc w:val="left"/>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4A56D22"/>
    <w:rsid w:val="08E71842"/>
    <w:rsid w:val="0AD22B0E"/>
    <w:rsid w:val="10174669"/>
    <w:rsid w:val="10B226E1"/>
    <w:rsid w:val="11830B72"/>
    <w:rsid w:val="16BD4DC5"/>
    <w:rsid w:val="1BD7243B"/>
    <w:rsid w:val="1CFF29F6"/>
    <w:rsid w:val="1D384C6E"/>
    <w:rsid w:val="1F101A43"/>
    <w:rsid w:val="1FE43AF7"/>
    <w:rsid w:val="205058A7"/>
    <w:rsid w:val="222E012F"/>
    <w:rsid w:val="24BC441B"/>
    <w:rsid w:val="259801CB"/>
    <w:rsid w:val="2DBA37B3"/>
    <w:rsid w:val="32415C43"/>
    <w:rsid w:val="39020526"/>
    <w:rsid w:val="3FDD1625"/>
    <w:rsid w:val="44C47DD0"/>
    <w:rsid w:val="44E71387"/>
    <w:rsid w:val="45AB4CC4"/>
    <w:rsid w:val="476C0F8C"/>
    <w:rsid w:val="48591532"/>
    <w:rsid w:val="4AE905BD"/>
    <w:rsid w:val="4D3F2ADF"/>
    <w:rsid w:val="4EC400D5"/>
    <w:rsid w:val="50E32F3E"/>
    <w:rsid w:val="54E61D80"/>
    <w:rsid w:val="59C232FC"/>
    <w:rsid w:val="5C57765F"/>
    <w:rsid w:val="5E212E97"/>
    <w:rsid w:val="5E5D375C"/>
    <w:rsid w:val="5FAB2C98"/>
    <w:rsid w:val="609F1150"/>
    <w:rsid w:val="64972136"/>
    <w:rsid w:val="65F451AE"/>
    <w:rsid w:val="66095472"/>
    <w:rsid w:val="67F65E7C"/>
    <w:rsid w:val="6CC7575A"/>
    <w:rsid w:val="7128436B"/>
    <w:rsid w:val="738E376F"/>
    <w:rsid w:val="777B6D4D"/>
    <w:rsid w:val="784373F7"/>
    <w:rsid w:val="791436BF"/>
    <w:rsid w:val="7B1D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22400</Words>
  <Characters>23723</Characters>
  <Lines>0</Lines>
  <Paragraphs>0</Paragraphs>
  <TotalTime>509</TotalTime>
  <ScaleCrop>false</ScaleCrop>
  <LinksUpToDate>false</LinksUpToDate>
  <CharactersWithSpaces>24882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2022-06-25T01:41:55Z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9425773161E34E88BAD3991FE78E2417</vt:lpwstr>
  </property>
  <property fmtid="{D5CDD505-2E9C-101B-9397-08002B2CF9AE}" pid="4" name="commondata">
    <vt:lpwstr>eyJoZGlkIjoiYjI4ZTRmYjVlYzNkNTI0ODRlNjM3ODNhMDNlNmUwYmQifQ==</vt:lpwstr>
  </property>
</Properties>
</file>