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default"/>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医学影像诊断配套图形工作站</w:t>
      </w:r>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052</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7</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LYC-2026-052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医学影像诊断配套图形工作站</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25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无。</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7</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21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7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22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7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22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7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22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w:t>
      </w:r>
      <w:bookmarkStart w:id="34" w:name="_GoBack"/>
      <w:bookmarkEnd w:id="34"/>
      <w:r>
        <w:rPr>
          <w:rFonts w:hint="eastAsia" w:ascii="宋体" w:hAnsi="宋体" w:cs="宋体"/>
          <w:b w:val="0"/>
          <w:bCs/>
          <w:sz w:val="24"/>
        </w:rPr>
        <w:t>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、李老师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、15182008558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2500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2500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5215"/>
      <w:bookmarkStart w:id="7" w:name="_Toc17067"/>
      <w:bookmarkStart w:id="8" w:name="_Toc13038"/>
      <w:bookmarkStart w:id="9" w:name="_Toc24295"/>
      <w:bookmarkStart w:id="10" w:name="_Toc31240"/>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hAnsi="宋体" w:cs="宋体"/>
          <w:color w:val="FF0000"/>
          <w:sz w:val="24"/>
          <w:szCs w:val="28"/>
          <w:u w:val="single"/>
        </w:rPr>
        <w:t>本项目核心产品：</w:t>
      </w:r>
      <w:r>
        <w:rPr>
          <w:rFonts w:hint="eastAsia" w:hAnsi="宋体" w:cs="宋体"/>
          <w:color w:val="FF0000"/>
          <w:sz w:val="24"/>
          <w:szCs w:val="28"/>
          <w:u w:val="single"/>
          <w:lang w:val="en-US" w:eastAsia="zh-CN"/>
        </w:rPr>
        <w:t>1、医学影像诊断配套图形工作站</w:t>
      </w:r>
      <w:r>
        <w:rPr>
          <w:rFonts w:hint="eastAsia" w:ascii="宋体" w:hAnsi="宋体" w:eastAsia="宋体" w:cs="宋体"/>
          <w:color w:val="FF0000"/>
          <w:sz w:val="24"/>
          <w:szCs w:val="28"/>
          <w:u w:val="single"/>
        </w:rPr>
        <w:t xml:space="preserve"> </w:t>
      </w:r>
      <w:r>
        <w:rPr>
          <w:rFonts w:hint="eastAsia" w:hAnsi="宋体" w:cs="宋体"/>
          <w:color w:val="FF0000"/>
          <w:sz w:val="24"/>
          <w:szCs w:val="28"/>
          <w:u w:val="single"/>
        </w:rPr>
        <w:t>。</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cs="宋体"/>
          <w:b/>
          <w:bCs/>
          <w:sz w:val="24"/>
          <w:lang w:eastAsia="zh-CN"/>
        </w:rPr>
        <w:t>9.</w:t>
      </w:r>
      <w:r>
        <w:rPr>
          <w:rFonts w:hint="eastAsia" w:ascii="宋体" w:hAnsi="宋体" w:eastAsia="宋体" w:cs="宋体"/>
          <w:b/>
          <w:bCs/>
          <w:sz w:val="24"/>
        </w:rPr>
        <w:t>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w:t>
      </w:r>
      <w:r>
        <w:rPr>
          <w:rFonts w:hint="eastAsia" w:ascii="宋体" w:hAnsi="宋体" w:cs="宋体"/>
          <w:sz w:val="24"/>
          <w:lang w:eastAsia="zh-CN"/>
        </w:rPr>
        <w:t>间之</w:t>
      </w:r>
      <w:r>
        <w:rPr>
          <w:rFonts w:hint="eastAsia" w:ascii="宋体" w:hAnsi="宋体" w:eastAsia="宋体" w:cs="宋体"/>
          <w:sz w:val="24"/>
        </w:rPr>
        <w:t>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cs="宋体"/>
          <w:b/>
          <w:bCs/>
          <w:sz w:val="24"/>
          <w:lang w:eastAsia="zh-CN"/>
        </w:rPr>
        <w:t>14.</w:t>
      </w:r>
      <w:r>
        <w:rPr>
          <w:rFonts w:hint="eastAsia" w:ascii="宋体" w:hAnsi="宋体" w:eastAsia="宋体" w:cs="宋体"/>
          <w:b/>
          <w:bCs/>
          <w:sz w:val="24"/>
        </w:rPr>
        <w:t>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w:t>
      </w:r>
      <w:r>
        <w:rPr>
          <w:rFonts w:hint="eastAsia" w:ascii="宋体" w:hAnsi="宋体" w:cs="宋体"/>
          <w:sz w:val="24"/>
          <w:lang w:eastAsia="zh-CN"/>
        </w:rPr>
        <w:t>并加</w:t>
      </w:r>
      <w:r>
        <w:rPr>
          <w:rFonts w:hint="eastAsia" w:ascii="宋体" w:hAnsi="宋体" w:eastAsia="宋体" w:cs="宋体"/>
          <w:sz w:val="24"/>
        </w:rPr>
        <w:t>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w:t>
      </w:r>
      <w:r>
        <w:rPr>
          <w:rFonts w:hint="eastAsia" w:cs="宋体"/>
          <w:lang w:eastAsia="zh-CN"/>
        </w:rPr>
        <w:t>须</w:t>
      </w:r>
      <w:r>
        <w:rPr>
          <w:rFonts w:hint="eastAsia" w:eastAsia="宋体" w:cs="宋体"/>
        </w:rPr>
        <w:t>经正式授权的供应商代表签字方为有效。 供应商在提交响应文件截止时</w:t>
      </w:r>
      <w:r>
        <w:rPr>
          <w:rFonts w:hint="eastAsia" w:cs="宋体"/>
          <w:lang w:eastAsia="zh-CN"/>
        </w:rPr>
        <w:t>间之</w:t>
      </w:r>
      <w:r>
        <w:rPr>
          <w:rFonts w:hint="eastAsia" w:eastAsia="宋体" w:cs="宋体"/>
        </w:rPr>
        <w:t>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w:t>
      </w:r>
      <w:r>
        <w:rPr>
          <w:rFonts w:hint="eastAsia" w:ascii="宋体" w:hAnsi="宋体" w:cs="宋体"/>
          <w:b w:val="0"/>
          <w:bCs/>
          <w:kern w:val="2"/>
          <w:sz w:val="24"/>
          <w:szCs w:val="24"/>
          <w:lang w:val="en-US" w:eastAsia="zh-CN" w:bidi="ar-SA"/>
        </w:rPr>
        <w:t>人在</w:t>
      </w:r>
      <w:r>
        <w:rPr>
          <w:rFonts w:hint="eastAsia" w:ascii="宋体" w:hAnsi="宋体" w:eastAsia="宋体" w:cs="宋体"/>
          <w:b w:val="0"/>
          <w:bCs/>
          <w:kern w:val="2"/>
          <w:sz w:val="24"/>
          <w:szCs w:val="24"/>
          <w:lang w:val="en-US" w:eastAsia="zh-CN" w:bidi="ar-SA"/>
        </w:rPr>
        <w:t>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430773927"/>
      <w:bookmarkStart w:id="12" w:name="_Toc101338364"/>
      <w:bookmarkStart w:id="13" w:name="_Toc101174151"/>
      <w:bookmarkStart w:id="14" w:name="_Toc101250646"/>
      <w:bookmarkStart w:id="15" w:name="_Toc209847069"/>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w:t>
      </w:r>
      <w:r>
        <w:rPr>
          <w:rFonts w:hint="eastAsia" w:ascii="宋体" w:hAnsi="宋体" w:cs="Times New Roman"/>
          <w:sz w:val="24"/>
          <w:lang w:eastAsia="zh-CN"/>
        </w:rPr>
        <w:t>－</w:t>
      </w:r>
      <w:r>
        <w:rPr>
          <w:rFonts w:hint="eastAsia" w:ascii="宋体" w:hAnsi="宋体" w:eastAsia="宋体" w:cs="Times New Roman"/>
          <w:sz w:val="24"/>
        </w:rPr>
        <w:t>（10）条情形之一的，同时将取消被确认为成交供应商的资格或者认定成交无效。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w:t>
      </w:r>
      <w:r>
        <w:rPr>
          <w:rFonts w:hint="eastAsia" w:ascii="宋体" w:hAnsi="宋体" w:cs="Times New Roman"/>
          <w:sz w:val="24"/>
          <w:lang w:eastAsia="zh-CN"/>
        </w:rPr>
        <w:t>中华人民共和国</w:t>
      </w:r>
      <w:r>
        <w:rPr>
          <w:rFonts w:hint="eastAsia" w:ascii="宋体" w:hAnsi="宋体" w:eastAsia="宋体" w:cs="Times New Roman"/>
          <w:sz w:val="24"/>
        </w:rPr>
        <w:t>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w:t>
      </w:r>
      <w:r>
        <w:rPr>
          <w:rFonts w:hint="eastAsia" w:ascii="宋体" w:hAnsi="宋体" w:cs="Times New Roman"/>
          <w:sz w:val="24"/>
          <w:lang w:eastAsia="zh-CN"/>
        </w:rPr>
        <w:t>作</w:t>
      </w:r>
      <w:r>
        <w:rPr>
          <w:rFonts w:hint="eastAsia" w:ascii="宋体" w:hAnsi="宋体" w:eastAsia="宋体" w:cs="Times New Roman"/>
          <w:sz w:val="24"/>
        </w:rPr>
        <w:t>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w:t>
      </w:r>
      <w:r>
        <w:rPr>
          <w:rFonts w:hint="eastAsia" w:ascii="宋体" w:cs="Times New Roman"/>
          <w:sz w:val="24"/>
          <w:lang w:eastAsia="zh-CN"/>
        </w:rPr>
        <w:t>一周</w:t>
      </w:r>
      <w:r>
        <w:rPr>
          <w:rFonts w:hint="eastAsia" w:ascii="宋体" w:hAnsi="Times New Roman" w:eastAsia="宋体" w:cs="Times New Roman"/>
          <w:sz w:val="24"/>
        </w:rPr>
        <w:t>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4.</w:t>
      </w:r>
      <w:r>
        <w:rPr>
          <w:rFonts w:hint="eastAsia" w:ascii="宋体" w:hAnsi="宋体" w:cs="宋体"/>
          <w:sz w:val="24"/>
          <w:szCs w:val="24"/>
        </w:rPr>
        <w:t>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sz w:val="24"/>
          <w:lang w:val="en-US" w:eastAsia="zh-CN"/>
        </w:rPr>
        <w:t>无</w:t>
      </w:r>
      <w:r>
        <w:rPr>
          <w:rFonts w:hint="eastAsia" w:ascii="宋体" w:hAnsi="宋体" w:cs="Times New Roman"/>
          <w:b w:val="0"/>
          <w:bCs w:val="0"/>
          <w:sz w:val="24"/>
          <w:lang w:val="en-US" w:eastAsia="zh-CN"/>
        </w:rPr>
        <w:t>。</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682368"/>
      <w:bookmarkStart w:id="17" w:name="_Toc77400782"/>
      <w:bookmarkStart w:id="18" w:name="_Toc183582231"/>
      <w:bookmarkStart w:id="19" w:name="_Toc89075878"/>
      <w:bookmarkStart w:id="20" w:name="_Toc217446056"/>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183582232"/>
      <w:bookmarkStart w:id="24" w:name="_Toc183682369"/>
      <w:bookmarkStart w:id="25" w:name="_Toc217446057"/>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27680"/>
      <w:bookmarkStart w:id="29" w:name="_Toc3397"/>
      <w:r>
        <w:rPr>
          <w:rFonts w:hint="eastAsia" w:ascii="宋体" w:hAnsi="宋体" w:eastAsia="宋体" w:cs="宋体"/>
          <w:kern w:val="2"/>
          <w:sz w:val="24"/>
          <w:szCs w:val="24"/>
          <w:lang w:val="en-US" w:eastAsia="zh-CN" w:bidi="ar-SA"/>
        </w:rPr>
        <w:t>渝邻国际核医学与精准转化技术创新中心建设项目建设需要。</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keepNext w:val="0"/>
              <w:keepLines w:val="0"/>
              <w:widowControl/>
              <w:suppressLineNumbers w:val="0"/>
              <w:jc w:val="center"/>
              <w:textAlignment w:val="center"/>
              <w:rPr>
                <w:rFonts w:hint="default" w:asciiTheme="minorEastAsia" w:hAnsiTheme="minorEastAsia" w:eastAsiaTheme="minorEastAsia" w:cstheme="minorEastAsia"/>
                <w:kern w:val="0"/>
                <w:sz w:val="22"/>
                <w:szCs w:val="22"/>
                <w:lang w:val="en-US" w:eastAsia="zh-CN"/>
              </w:rPr>
            </w:pPr>
            <w:r>
              <w:rPr>
                <w:rFonts w:hint="eastAsia" w:ascii="宋体" w:hAnsi="宋体" w:cs="宋体"/>
                <w:i w:val="0"/>
                <w:iCs w:val="0"/>
                <w:color w:val="000000"/>
                <w:kern w:val="0"/>
                <w:sz w:val="24"/>
                <w:szCs w:val="24"/>
                <w:u w:val="none"/>
                <w:lang w:val="en-US" w:eastAsia="zh-CN" w:bidi="ar"/>
              </w:rPr>
              <w:t>医学影像诊断配套图形工作站</w:t>
            </w:r>
          </w:p>
        </w:tc>
        <w:tc>
          <w:tcPr>
            <w:tcW w:w="972" w:type="dxa"/>
            <w:vAlign w:val="center"/>
          </w:tcPr>
          <w:p w14:paraId="7C57371F">
            <w:pPr>
              <w:keepNext w:val="0"/>
              <w:keepLines w:val="0"/>
              <w:pageBreakBefore w:val="0"/>
              <w:kinsoku/>
              <w:wordWrap/>
              <w:overflowPunct/>
              <w:topLinePunct w:val="0"/>
              <w:autoSpaceDE/>
              <w:autoSpaceDN/>
              <w:bidi w:val="0"/>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Times New Roman" w:hAnsi="Times New Roman" w:cs="Times New Roman"/>
                <w:color w:val="auto"/>
                <w:kern w:val="0"/>
                <w:sz w:val="28"/>
                <w:szCs w:val="28"/>
                <w:u w:val="none"/>
                <w:lang w:val="en-US" w:eastAsia="zh-CN" w:bidi="ar-SA"/>
              </w:rPr>
              <w:t>台</w:t>
            </w:r>
          </w:p>
        </w:tc>
        <w:tc>
          <w:tcPr>
            <w:tcW w:w="996" w:type="dxa"/>
            <w:tcBorders>
              <w:top w:val="single" w:color="auto" w:sz="4" w:space="0"/>
              <w:bottom w:val="single" w:color="auto" w:sz="4" w:space="0"/>
            </w:tcBorders>
            <w:vAlign w:val="center"/>
          </w:tcPr>
          <w:p w14:paraId="653E54DD">
            <w:pPr>
              <w:keepNext w:val="0"/>
              <w:keepLines w:val="0"/>
              <w:pageBreakBefore w:val="0"/>
              <w:kinsoku/>
              <w:wordWrap/>
              <w:overflowPunct/>
              <w:topLinePunct w:val="0"/>
              <w:autoSpaceDE/>
              <w:autoSpaceDN/>
              <w:bidi w:val="0"/>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cs="Times New Roman"/>
                <w:color w:val="auto"/>
                <w:kern w:val="0"/>
                <w:sz w:val="28"/>
                <w:szCs w:val="28"/>
                <w:u w:val="none"/>
                <w:lang w:val="en-US" w:eastAsia="zh-CN"/>
              </w:rPr>
              <w:t>25</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25</w:t>
            </w:r>
          </w:p>
        </w:tc>
        <w:tc>
          <w:tcPr>
            <w:tcW w:w="1584" w:type="dxa"/>
            <w:tcBorders>
              <w:top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25</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bl>
    <w:p w14:paraId="326997E6">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23CF0794">
      <w:pPr>
        <w:pStyle w:val="3"/>
        <w:keepNext/>
        <w:keepLines/>
        <w:pageBreakBefore w:val="0"/>
        <w:widowControl w:val="0"/>
        <w:kinsoku/>
        <w:wordWrap/>
        <w:overflowPunct/>
        <w:topLinePunct w:val="0"/>
        <w:autoSpaceDE/>
        <w:autoSpaceDN/>
        <w:bidi w:val="0"/>
        <w:adjustRightInd/>
        <w:snapToGrid/>
        <w:spacing w:line="320" w:lineRule="exact"/>
        <w:textAlignment w:val="auto"/>
        <w:rPr>
          <w:rFonts w:hint="eastAsia" w:ascii="宋体" w:hAnsi="宋体"/>
          <w:color w:val="auto"/>
          <w:sz w:val="24"/>
        </w:rPr>
      </w:pPr>
      <w:r>
        <w:rPr>
          <w:rFonts w:hint="eastAsia" w:ascii="宋体" w:hAnsi="宋体" w:eastAsia="宋体" w:cs="宋体"/>
          <w:b/>
          <w:bCs/>
          <w:color w:val="auto"/>
          <w:kern w:val="2"/>
          <w:sz w:val="24"/>
          <w:szCs w:val="24"/>
          <w:lang w:val="en-US" w:eastAsia="zh-CN" w:bidi="ar-SA"/>
        </w:rPr>
        <w:t>（一）技术要求</w:t>
      </w:r>
    </w:p>
    <w:p w14:paraId="1018B4C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1、CPU</w:t>
      </w:r>
    </w:p>
    <w:p w14:paraId="77DBB624">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(1)CPU型号：≥intel I7-14700；</w:t>
      </w:r>
    </w:p>
    <w:p w14:paraId="6882A06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CPU物理核数：≥20核心；</w:t>
      </w:r>
    </w:p>
    <w:p w14:paraId="1DA7CC17">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CPU线程数：≥24线程；</w:t>
      </w:r>
    </w:p>
    <w:p w14:paraId="3FABE0D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(4)CPU主频：≥2.1GHz；</w:t>
      </w:r>
    </w:p>
    <w:p w14:paraId="1895A63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CPU末级缓存容量：≥33MB；</w:t>
      </w:r>
    </w:p>
    <w:p w14:paraId="0123AAC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CPU支持的最高内存类型：≥DDR5 5600MHz；</w:t>
      </w:r>
    </w:p>
    <w:p w14:paraId="1EA64FC0">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(7)CPU功耗：≥65W；</w:t>
      </w:r>
    </w:p>
    <w:p w14:paraId="69C48CD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内存</w:t>
      </w:r>
      <w:r>
        <w:rPr>
          <w:rFonts w:hint="eastAsia" w:ascii="宋体" w:hAnsi="宋体" w:eastAsia="宋体" w:cs="Times New Roman"/>
          <w:color w:val="000000"/>
          <w:kern w:val="2"/>
          <w:sz w:val="24"/>
          <w:szCs w:val="24"/>
          <w:lang w:val="en-US" w:eastAsia="zh-CN" w:bidi="ar-SA"/>
        </w:rPr>
        <w:tab/>
      </w:r>
    </w:p>
    <w:p w14:paraId="36ED04B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内存配置容量：≥16G；</w:t>
      </w:r>
    </w:p>
    <w:p w14:paraId="72889F9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内存类型：支持DDR5 4400MHz及以上；</w:t>
      </w:r>
    </w:p>
    <w:p w14:paraId="3BF845E5">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内存条配置数量</w:t>
      </w: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≥1条；</w:t>
      </w:r>
    </w:p>
    <w:p w14:paraId="465861A0">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主板</w:t>
      </w:r>
    </w:p>
    <w:p w14:paraId="49B39C3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主板集成模块：集成资源扩展模块、计算处理模块、音频扩展模块等，主板的互联拓扑可通过处理器或交换电路实现；</w:t>
      </w:r>
    </w:p>
    <w:p w14:paraId="1869A80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主板内置PCIe插槽数量：4个及以上PCIe槽位（至少1个是PCIe 4.0x16规格）；</w:t>
      </w:r>
    </w:p>
    <w:p w14:paraId="48DC6DC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单内存插槽最大可支持容量：≥32GB；</w:t>
      </w:r>
    </w:p>
    <w:p w14:paraId="1DE608A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内存插槽配满时提供的最高内存总容量：≥128GB；</w:t>
      </w:r>
    </w:p>
    <w:p w14:paraId="5273DC4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内存扩展接口：≥3个；</w:t>
      </w:r>
    </w:p>
    <w:p w14:paraId="25ABCD7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主板USB瞬间过流保护：</w:t>
      </w:r>
      <w:r>
        <w:rPr>
          <w:rFonts w:hint="eastAsia" w:cs="Times New Roman"/>
          <w:color w:val="000000"/>
          <w:kern w:val="2"/>
          <w:sz w:val="24"/>
          <w:szCs w:val="24"/>
          <w:lang w:val="en-US" w:eastAsia="zh-CN" w:bidi="ar-SA"/>
        </w:rPr>
        <w:t>支持</w:t>
      </w:r>
      <w:r>
        <w:rPr>
          <w:rFonts w:hint="eastAsia" w:ascii="宋体" w:hAnsi="宋体" w:eastAsia="宋体" w:cs="Times New Roman"/>
          <w:color w:val="000000"/>
          <w:kern w:val="2"/>
          <w:sz w:val="24"/>
          <w:szCs w:val="24"/>
          <w:lang w:val="en-US" w:eastAsia="zh-CN" w:bidi="ar-SA"/>
        </w:rPr>
        <w:t>瞬间过流保护功能；</w:t>
      </w:r>
    </w:p>
    <w:p w14:paraId="106B2F4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（7）</w:t>
      </w:r>
      <w:r>
        <w:rPr>
          <w:rFonts w:hint="eastAsia" w:ascii="宋体" w:hAnsi="宋体" w:eastAsia="宋体" w:cs="Times New Roman"/>
          <w:color w:val="000000"/>
          <w:kern w:val="2"/>
          <w:sz w:val="24"/>
          <w:szCs w:val="24"/>
          <w:lang w:val="en-US" w:eastAsia="zh-CN" w:bidi="ar-SA"/>
        </w:rPr>
        <w:t>主板防静电保护：支持防静电保护功能；</w:t>
      </w:r>
    </w:p>
    <w:p w14:paraId="31B3ACB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存储设备规格</w:t>
      </w:r>
    </w:p>
    <w:p w14:paraId="02EB690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固态盘数量：≥1个；</w:t>
      </w:r>
    </w:p>
    <w:p w14:paraId="080F4F2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固态存储容量：≥256GB；</w:t>
      </w:r>
    </w:p>
    <w:p w14:paraId="7887942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固态存储形态：M.2；</w:t>
      </w:r>
    </w:p>
    <w:p w14:paraId="1194A87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机械硬盘数量：≥1个；</w:t>
      </w:r>
    </w:p>
    <w:p w14:paraId="3F1E427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机械存储容量：≥2TB；</w:t>
      </w:r>
    </w:p>
    <w:p w14:paraId="3FEAE265">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机械存储形态：SATA；</w:t>
      </w:r>
    </w:p>
    <w:p w14:paraId="4A03389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（7）</w:t>
      </w:r>
      <w:r>
        <w:rPr>
          <w:rFonts w:hint="eastAsia" w:ascii="宋体" w:hAnsi="宋体" w:eastAsia="宋体" w:cs="Times New Roman"/>
          <w:color w:val="000000"/>
          <w:kern w:val="2"/>
          <w:sz w:val="24"/>
          <w:szCs w:val="24"/>
          <w:lang w:val="en-US" w:eastAsia="zh-CN" w:bidi="ar-SA"/>
        </w:rPr>
        <w:t>机械硬盘转速：≥7200rpm；</w:t>
      </w:r>
    </w:p>
    <w:p w14:paraId="04C28C3A">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（8）</w:t>
      </w:r>
      <w:r>
        <w:rPr>
          <w:rFonts w:hint="eastAsia" w:ascii="宋体" w:hAnsi="宋体" w:eastAsia="宋体" w:cs="Times New Roman"/>
          <w:color w:val="000000"/>
          <w:kern w:val="2"/>
          <w:sz w:val="24"/>
          <w:szCs w:val="24"/>
          <w:lang w:val="en-US" w:eastAsia="zh-CN" w:bidi="ar-SA"/>
        </w:rPr>
        <w:t>存储设备扩展盘位：≥2个3.5英寸或≥4个2.5英寸SATA机械硬盘扩展位；≥3个M.2固态盘扩展位；</w:t>
      </w:r>
    </w:p>
    <w:p w14:paraId="6E7B057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显卡</w:t>
      </w:r>
      <w:r>
        <w:rPr>
          <w:rFonts w:hint="eastAsia" w:ascii="宋体" w:hAnsi="宋体" w:eastAsia="宋体" w:cs="Times New Roman"/>
          <w:color w:val="000000"/>
          <w:kern w:val="2"/>
          <w:sz w:val="24"/>
          <w:szCs w:val="24"/>
          <w:lang w:val="en-US" w:eastAsia="zh-CN" w:bidi="ar-SA"/>
        </w:rPr>
        <w:tab/>
      </w:r>
    </w:p>
    <w:p w14:paraId="42FD4DD4">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显卡类型：高性能集成显卡</w:t>
      </w:r>
    </w:p>
    <w:p w14:paraId="367AD48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显示设备</w:t>
      </w:r>
      <w:r>
        <w:rPr>
          <w:rFonts w:hint="eastAsia" w:ascii="宋体" w:hAnsi="宋体" w:eastAsia="宋体" w:cs="Times New Roman"/>
          <w:color w:val="000000"/>
          <w:kern w:val="2"/>
          <w:sz w:val="24"/>
          <w:szCs w:val="24"/>
          <w:lang w:val="en-US" w:eastAsia="zh-CN" w:bidi="ar-SA"/>
        </w:rPr>
        <w:tab/>
      </w:r>
      <w:r>
        <w:rPr>
          <w:rFonts w:hint="eastAsia" w:ascii="宋体" w:hAnsi="宋体" w:eastAsia="宋体" w:cs="Times New Roman"/>
          <w:color w:val="000000"/>
          <w:kern w:val="2"/>
          <w:sz w:val="24"/>
          <w:szCs w:val="24"/>
          <w:lang w:val="en-US" w:eastAsia="zh-CN" w:bidi="ar-SA"/>
        </w:rPr>
        <w:tab/>
      </w:r>
      <w:r>
        <w:rPr>
          <w:rFonts w:hint="eastAsia" w:ascii="宋体" w:hAnsi="宋体" w:eastAsia="宋体" w:cs="Times New Roman"/>
          <w:color w:val="000000"/>
          <w:kern w:val="2"/>
          <w:sz w:val="24"/>
          <w:szCs w:val="24"/>
          <w:lang w:val="en-US" w:eastAsia="zh-CN" w:bidi="ar-SA"/>
        </w:rPr>
        <w:tab/>
      </w:r>
    </w:p>
    <w:p w14:paraId="71646C5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主机同品牌商用显示器；</w:t>
      </w:r>
    </w:p>
    <w:p w14:paraId="61BB9C7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显示屏屏占比：≥80%；</w:t>
      </w:r>
    </w:p>
    <w:p w14:paraId="5506EFF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显示屏分辨率：≥1920*1080；</w:t>
      </w:r>
    </w:p>
    <w:p w14:paraId="2CAF4D4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显示屏尺寸：≥23.8英寸；</w:t>
      </w:r>
    </w:p>
    <w:p w14:paraId="2FF2133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显示屏屏幕比例：16:9；</w:t>
      </w:r>
    </w:p>
    <w:p w14:paraId="4FF11874">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显示器外观颜色：黑色；</w:t>
      </w:r>
    </w:p>
    <w:p w14:paraId="7CDAB70A">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（7）</w:t>
      </w:r>
      <w:r>
        <w:rPr>
          <w:rFonts w:hint="eastAsia" w:ascii="宋体" w:hAnsi="宋体" w:eastAsia="宋体" w:cs="Times New Roman"/>
          <w:color w:val="000000"/>
          <w:kern w:val="2"/>
          <w:sz w:val="24"/>
          <w:szCs w:val="24"/>
          <w:lang w:val="en-US" w:eastAsia="zh-CN" w:bidi="ar-SA"/>
        </w:rPr>
        <w:t>显示屏防蓝光：支持防蓝光模式，蓝光加权辐射亮度比应≤0.0012W/</w:t>
      </w: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·cd·sr</w:t>
      </w: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（瓦每坎特拉每球面度）；</w:t>
      </w:r>
    </w:p>
    <w:p w14:paraId="0D4AAF15">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（8）</w:t>
      </w:r>
      <w:r>
        <w:rPr>
          <w:rFonts w:hint="eastAsia" w:ascii="宋体" w:hAnsi="宋体" w:eastAsia="宋体" w:cs="Times New Roman"/>
          <w:color w:val="000000"/>
          <w:kern w:val="2"/>
          <w:sz w:val="24"/>
          <w:szCs w:val="24"/>
          <w:lang w:val="en-US" w:eastAsia="zh-CN" w:bidi="ar-SA"/>
        </w:rPr>
        <w:t>显示屏低频闪：显示屏应支持低频闪≤-35dB；</w:t>
      </w:r>
    </w:p>
    <w:p w14:paraId="5045780C">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（9）</w:t>
      </w:r>
      <w:r>
        <w:rPr>
          <w:rFonts w:hint="eastAsia" w:ascii="宋体" w:hAnsi="宋体" w:eastAsia="宋体" w:cs="Times New Roman"/>
          <w:color w:val="000000"/>
          <w:kern w:val="2"/>
          <w:sz w:val="24"/>
          <w:szCs w:val="24"/>
          <w:lang w:val="en-US" w:eastAsia="zh-CN" w:bidi="ar-SA"/>
        </w:rPr>
        <w:t>显示屏</w:t>
      </w:r>
      <w:r>
        <w:rPr>
          <w:rFonts w:hint="eastAsia" w:cs="Times New Roman"/>
          <w:color w:val="000000"/>
          <w:kern w:val="2"/>
          <w:sz w:val="24"/>
          <w:szCs w:val="24"/>
          <w:lang w:val="en-US" w:eastAsia="zh-CN" w:bidi="ar-SA"/>
        </w:rPr>
        <w:t>防眩目</w:t>
      </w:r>
      <w:r>
        <w:rPr>
          <w:rFonts w:hint="eastAsia" w:ascii="宋体" w:hAnsi="宋体" w:eastAsia="宋体" w:cs="Times New Roman"/>
          <w:color w:val="000000"/>
          <w:kern w:val="2"/>
          <w:sz w:val="24"/>
          <w:szCs w:val="24"/>
          <w:lang w:val="en-US" w:eastAsia="zh-CN" w:bidi="ar-SA"/>
        </w:rPr>
        <w:t>：显示屏镜面反射率≤10%；</w:t>
      </w:r>
    </w:p>
    <w:p w14:paraId="2CA2171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（10）</w:t>
      </w:r>
      <w:r>
        <w:rPr>
          <w:rFonts w:hint="eastAsia" w:ascii="宋体" w:hAnsi="宋体" w:eastAsia="宋体" w:cs="Times New Roman"/>
          <w:color w:val="000000"/>
          <w:kern w:val="2"/>
          <w:sz w:val="24"/>
          <w:szCs w:val="24"/>
          <w:lang w:val="en-US" w:eastAsia="zh-CN" w:bidi="ar-SA"/>
        </w:rPr>
        <w:t>水平可视角度：≥170°；</w:t>
      </w:r>
    </w:p>
    <w:p w14:paraId="611D2F6D">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（11）</w:t>
      </w:r>
      <w:r>
        <w:rPr>
          <w:rFonts w:hint="eastAsia" w:ascii="宋体" w:hAnsi="宋体" w:eastAsia="宋体" w:cs="Times New Roman"/>
          <w:color w:val="000000"/>
          <w:kern w:val="2"/>
          <w:sz w:val="24"/>
          <w:szCs w:val="24"/>
          <w:lang w:val="en-US" w:eastAsia="zh-CN" w:bidi="ar-SA"/>
        </w:rPr>
        <w:t>显示屏亮度：≥250尼特；</w:t>
      </w:r>
    </w:p>
    <w:p w14:paraId="42989C5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7.</w:t>
      </w:r>
      <w:r>
        <w:rPr>
          <w:rFonts w:hint="eastAsia" w:ascii="宋体" w:hAnsi="宋体" w:eastAsia="宋体" w:cs="Times New Roman"/>
          <w:color w:val="000000"/>
          <w:kern w:val="2"/>
          <w:sz w:val="24"/>
          <w:szCs w:val="24"/>
          <w:lang w:val="en-US" w:eastAsia="zh-CN" w:bidi="ar-SA"/>
        </w:rPr>
        <w:t>外设</w:t>
      </w:r>
    </w:p>
    <w:p w14:paraId="15FA56B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鼠标数量：≥1个；</w:t>
      </w:r>
    </w:p>
    <w:p w14:paraId="06F7E97D">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键盘数量：≥1个；</w:t>
      </w:r>
    </w:p>
    <w:p w14:paraId="77C41D67">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键盘按键数目：104键；</w:t>
      </w:r>
    </w:p>
    <w:p w14:paraId="40EE5E7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键盘连接方式：有线；</w:t>
      </w:r>
    </w:p>
    <w:p w14:paraId="0053229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5</w:t>
      </w: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键盘键程：2.3mm</w:t>
      </w: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4.0mm；</w:t>
      </w:r>
    </w:p>
    <w:p w14:paraId="445D43E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键盘按键压力：按键压力在0.54N±0.14N；</w:t>
      </w:r>
    </w:p>
    <w:p w14:paraId="388B321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（7）</w:t>
      </w:r>
      <w:r>
        <w:rPr>
          <w:rFonts w:hint="eastAsia" w:ascii="宋体" w:hAnsi="宋体" w:eastAsia="宋体" w:cs="Times New Roman"/>
          <w:color w:val="000000"/>
          <w:kern w:val="2"/>
          <w:sz w:val="24"/>
          <w:szCs w:val="24"/>
          <w:lang w:val="en-US" w:eastAsia="zh-CN" w:bidi="ar-SA"/>
        </w:rPr>
        <w:t>有线键盘连接线：≥1.5米；</w:t>
      </w:r>
    </w:p>
    <w:p w14:paraId="06DCE49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（8）</w:t>
      </w:r>
      <w:r>
        <w:rPr>
          <w:rFonts w:hint="eastAsia" w:ascii="宋体" w:hAnsi="宋体" w:eastAsia="宋体" w:cs="Times New Roman"/>
          <w:color w:val="000000"/>
          <w:kern w:val="2"/>
          <w:sz w:val="24"/>
          <w:szCs w:val="24"/>
          <w:lang w:val="en-US" w:eastAsia="zh-CN" w:bidi="ar-SA"/>
        </w:rPr>
        <w:t>键盘颜色：黑色；</w:t>
      </w:r>
    </w:p>
    <w:p w14:paraId="152DDBE9">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（9）</w:t>
      </w:r>
      <w:r>
        <w:rPr>
          <w:rFonts w:hint="eastAsia" w:ascii="宋体" w:hAnsi="宋体" w:eastAsia="宋体" w:cs="Times New Roman"/>
          <w:color w:val="000000"/>
          <w:kern w:val="2"/>
          <w:sz w:val="24"/>
          <w:szCs w:val="24"/>
          <w:lang w:val="en-US" w:eastAsia="zh-CN" w:bidi="ar-SA"/>
        </w:rPr>
        <w:t>鼠标连接方式：有线；</w:t>
      </w:r>
    </w:p>
    <w:p w14:paraId="47B75B6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（10）</w:t>
      </w:r>
      <w:r>
        <w:rPr>
          <w:rFonts w:hint="eastAsia" w:ascii="宋体" w:hAnsi="宋体" w:eastAsia="宋体" w:cs="Times New Roman"/>
          <w:color w:val="000000"/>
          <w:kern w:val="2"/>
          <w:sz w:val="24"/>
          <w:szCs w:val="24"/>
          <w:lang w:val="en-US" w:eastAsia="zh-CN" w:bidi="ar-SA"/>
        </w:rPr>
        <w:t>有线鼠标连接线：≥1.5米；</w:t>
      </w:r>
    </w:p>
    <w:p w14:paraId="1C22DCE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（11）</w:t>
      </w:r>
      <w:r>
        <w:rPr>
          <w:rFonts w:hint="eastAsia" w:ascii="宋体" w:hAnsi="宋体" w:eastAsia="宋体" w:cs="Times New Roman"/>
          <w:color w:val="000000"/>
          <w:kern w:val="2"/>
          <w:sz w:val="24"/>
          <w:szCs w:val="24"/>
          <w:lang w:val="en-US" w:eastAsia="zh-CN" w:bidi="ar-SA"/>
        </w:rPr>
        <w:t>鼠标DPI分辨率：800～1600；</w:t>
      </w:r>
    </w:p>
    <w:p w14:paraId="12B5A9CC">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（12）</w:t>
      </w:r>
      <w:r>
        <w:rPr>
          <w:rFonts w:hint="eastAsia" w:ascii="宋体" w:hAnsi="宋体" w:eastAsia="宋体" w:cs="Times New Roman"/>
          <w:color w:val="000000"/>
          <w:kern w:val="2"/>
          <w:sz w:val="24"/>
          <w:szCs w:val="24"/>
          <w:lang w:val="en-US" w:eastAsia="zh-CN" w:bidi="ar-SA"/>
        </w:rPr>
        <w:t>鼠标颜色：黑色；</w:t>
      </w:r>
    </w:p>
    <w:p w14:paraId="52EF4949">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（13）</w:t>
      </w:r>
      <w:r>
        <w:rPr>
          <w:rFonts w:hint="eastAsia" w:ascii="宋体" w:hAnsi="宋体" w:eastAsia="宋体" w:cs="Times New Roman"/>
          <w:color w:val="000000"/>
          <w:kern w:val="2"/>
          <w:sz w:val="24"/>
          <w:szCs w:val="24"/>
          <w:lang w:val="en-US" w:eastAsia="zh-CN" w:bidi="ar-SA"/>
        </w:rPr>
        <w:t>键盘按键寿命：≥1000万次；</w:t>
      </w:r>
    </w:p>
    <w:p w14:paraId="26B1CE9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（14）</w:t>
      </w:r>
      <w:r>
        <w:rPr>
          <w:rFonts w:hint="eastAsia" w:ascii="宋体" w:hAnsi="宋体" w:eastAsia="宋体" w:cs="Times New Roman"/>
          <w:color w:val="000000"/>
          <w:kern w:val="2"/>
          <w:sz w:val="24"/>
          <w:szCs w:val="24"/>
          <w:lang w:val="en-US" w:eastAsia="zh-CN" w:bidi="ar-SA"/>
        </w:rPr>
        <w:t>鼠标按键寿命：≥500万次；</w:t>
      </w:r>
    </w:p>
    <w:p w14:paraId="6BCD8905">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8.</w:t>
      </w:r>
      <w:r>
        <w:rPr>
          <w:rFonts w:hint="eastAsia" w:ascii="宋体" w:hAnsi="宋体" w:eastAsia="宋体" w:cs="Times New Roman"/>
          <w:color w:val="000000"/>
          <w:kern w:val="2"/>
          <w:sz w:val="24"/>
          <w:szCs w:val="24"/>
          <w:lang w:val="en-US" w:eastAsia="zh-CN" w:bidi="ar-SA"/>
        </w:rPr>
        <w:t>网络设备</w:t>
      </w:r>
    </w:p>
    <w:p w14:paraId="39FF5C4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有线网卡数量：≥1个；</w:t>
      </w:r>
    </w:p>
    <w:p w14:paraId="328A625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9.</w:t>
      </w:r>
      <w:r>
        <w:rPr>
          <w:rFonts w:hint="eastAsia" w:ascii="宋体" w:hAnsi="宋体" w:eastAsia="宋体" w:cs="Times New Roman"/>
          <w:color w:val="000000"/>
          <w:kern w:val="2"/>
          <w:sz w:val="24"/>
          <w:szCs w:val="24"/>
          <w:lang w:val="en-US" w:eastAsia="zh-CN" w:bidi="ar-SA"/>
        </w:rPr>
        <w:t>外部接口</w:t>
      </w:r>
    </w:p>
    <w:p w14:paraId="217DB26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 xml:space="preserve">USB接口数量：原生USB接口≥9个，其中机箱前面板应提供≥5个USB接口， </w:t>
      </w:r>
    </w:p>
    <w:p w14:paraId="59F3D36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视频接口数量：≥3个，其中≥1个DP、1个HDMI；</w:t>
      </w:r>
    </w:p>
    <w:p w14:paraId="6DED837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音频接口数量：≥3个；</w:t>
      </w:r>
    </w:p>
    <w:p w14:paraId="47339D1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10.</w:t>
      </w:r>
      <w:r>
        <w:rPr>
          <w:rFonts w:hint="eastAsia" w:ascii="宋体" w:hAnsi="宋体" w:eastAsia="宋体" w:cs="Times New Roman"/>
          <w:color w:val="000000"/>
          <w:kern w:val="2"/>
          <w:sz w:val="24"/>
          <w:szCs w:val="24"/>
          <w:lang w:val="en-US" w:eastAsia="zh-CN" w:bidi="ar-SA"/>
        </w:rPr>
        <w:t>整机基础</w:t>
      </w:r>
      <w:r>
        <w:rPr>
          <w:rFonts w:hint="eastAsia" w:cs="Times New Roman"/>
          <w:color w:val="000000"/>
          <w:kern w:val="2"/>
          <w:sz w:val="24"/>
          <w:szCs w:val="24"/>
          <w:lang w:val="en-US" w:eastAsia="zh-CN" w:bidi="ar-SA"/>
        </w:rPr>
        <w:t>配置</w:t>
      </w:r>
    </w:p>
    <w:p w14:paraId="1694B91A">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机身材质：金属/塑料；</w:t>
      </w:r>
    </w:p>
    <w:p w14:paraId="4AF063F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机身颜色：黑色；</w:t>
      </w:r>
    </w:p>
    <w:p w14:paraId="1694A20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机箱尺寸容量：≥17L且≤40L，支持免工具拆卸；</w:t>
      </w:r>
    </w:p>
    <w:p w14:paraId="6201B61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a）</w:t>
      </w:r>
      <w:r>
        <w:rPr>
          <w:rFonts w:hint="eastAsia" w:ascii="宋体" w:hAnsi="宋体" w:eastAsia="宋体" w:cs="Times New Roman"/>
          <w:color w:val="000000"/>
          <w:kern w:val="2"/>
          <w:sz w:val="24"/>
          <w:szCs w:val="24"/>
          <w:lang w:val="en-US" w:eastAsia="zh-CN" w:bidi="ar-SA"/>
        </w:rPr>
        <w:t xml:space="preserve"> 机箱应符合 GB/T 4208、GB/T 26246的相关规定；</w:t>
      </w:r>
    </w:p>
    <w:p w14:paraId="2126A1F9">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b）</w:t>
      </w:r>
      <w:r>
        <w:rPr>
          <w:rFonts w:hint="eastAsia" w:ascii="宋体" w:hAnsi="宋体" w:eastAsia="宋体" w:cs="Times New Roman"/>
          <w:color w:val="000000"/>
          <w:kern w:val="2"/>
          <w:sz w:val="24"/>
          <w:szCs w:val="24"/>
          <w:lang w:val="en-US" w:eastAsia="zh-CN" w:bidi="ar-SA"/>
        </w:rPr>
        <w:t xml:space="preserve"> 产品内部结构应符合通用部件的安装需要；</w:t>
      </w:r>
    </w:p>
    <w:p w14:paraId="67CBA69A">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c）</w:t>
      </w:r>
      <w:r>
        <w:rPr>
          <w:rFonts w:hint="eastAsia" w:ascii="宋体" w:hAnsi="宋体" w:eastAsia="宋体" w:cs="Times New Roman"/>
          <w:color w:val="000000"/>
          <w:kern w:val="2"/>
          <w:sz w:val="24"/>
          <w:szCs w:val="24"/>
          <w:lang w:val="en-US" w:eastAsia="zh-CN" w:bidi="ar-SA"/>
        </w:rPr>
        <w:t xml:space="preserve"> 所有输入输出接口应符合相关国家或行业标准；</w:t>
      </w:r>
    </w:p>
    <w:p w14:paraId="05BDFF8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d）</w:t>
      </w:r>
      <w:r>
        <w:rPr>
          <w:rFonts w:hint="eastAsia" w:ascii="宋体" w:hAnsi="宋体" w:eastAsia="宋体" w:cs="Times New Roman"/>
          <w:color w:val="000000"/>
          <w:kern w:val="2"/>
          <w:sz w:val="24"/>
          <w:szCs w:val="24"/>
          <w:lang w:val="en-US" w:eastAsia="zh-CN" w:bidi="ar-SA"/>
        </w:rPr>
        <w:t xml:space="preserve"> 产品零部件应紧固无松动，可插拔部件应可靠连接，开关、按钮和其它控制部件应灵活可靠，布局应方便使用；</w:t>
      </w:r>
    </w:p>
    <w:p w14:paraId="1E806119">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e）</w:t>
      </w:r>
      <w:r>
        <w:rPr>
          <w:rFonts w:hint="eastAsia" w:ascii="宋体" w:hAnsi="宋体" w:eastAsia="宋体" w:cs="Times New Roman"/>
          <w:color w:val="000000"/>
          <w:kern w:val="2"/>
          <w:sz w:val="24"/>
          <w:szCs w:val="24"/>
          <w:lang w:val="en-US" w:eastAsia="zh-CN" w:bidi="ar-SA"/>
        </w:rPr>
        <w:t xml:space="preserve"> 所有 I/O 连接器及需插接线缆的部位应预留用户操作空间，方便插拔解锁与插拔线缆；</w:t>
      </w:r>
    </w:p>
    <w:p w14:paraId="458C0B67">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f）</w:t>
      </w:r>
      <w:r>
        <w:rPr>
          <w:rFonts w:hint="eastAsia" w:ascii="宋体" w:hAnsi="宋体" w:eastAsia="宋体" w:cs="Times New Roman"/>
          <w:color w:val="000000"/>
          <w:kern w:val="2"/>
          <w:sz w:val="24"/>
          <w:szCs w:val="24"/>
          <w:lang w:val="en-US" w:eastAsia="zh-CN" w:bidi="ar-SA"/>
        </w:rPr>
        <w:t xml:space="preserve"> 可插拔板卡插槽部位应预留安装、拆卸或更换板卡空间；</w:t>
      </w:r>
    </w:p>
    <w:p w14:paraId="283189B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g）</w:t>
      </w:r>
      <w:r>
        <w:rPr>
          <w:rFonts w:hint="eastAsia" w:ascii="宋体" w:hAnsi="宋体" w:eastAsia="宋体" w:cs="Times New Roman"/>
          <w:color w:val="000000"/>
          <w:kern w:val="2"/>
          <w:sz w:val="24"/>
          <w:szCs w:val="24"/>
          <w:lang w:val="en-US" w:eastAsia="zh-CN" w:bidi="ar-SA"/>
        </w:rPr>
        <w:t xml:space="preserve"> 拆装可能接触到的金属剪口或金属尖角部位应做防划伤处理，以保证安全；</w:t>
      </w:r>
    </w:p>
    <w:p w14:paraId="695C9445">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h）</w:t>
      </w:r>
      <w:r>
        <w:rPr>
          <w:rFonts w:hint="eastAsia" w:ascii="宋体" w:hAnsi="宋体" w:eastAsia="宋体" w:cs="Times New Roman"/>
          <w:color w:val="000000"/>
          <w:kern w:val="2"/>
          <w:sz w:val="24"/>
          <w:szCs w:val="24"/>
          <w:lang w:val="en-US" w:eastAsia="zh-CN" w:bidi="ar-SA"/>
        </w:rPr>
        <w:t xml:space="preserve"> 整机内部走线应规整，固线结构和位置要合理可靠并做防割线处理，需便于理线和插拔操作，走线应不影响系统各主要部件组装和拆卸；</w:t>
      </w:r>
    </w:p>
    <w:p w14:paraId="148CB75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i）</w:t>
      </w:r>
      <w:r>
        <w:rPr>
          <w:rFonts w:hint="eastAsia" w:ascii="宋体" w:hAnsi="宋体" w:eastAsia="宋体" w:cs="Times New Roman"/>
          <w:color w:val="000000"/>
          <w:kern w:val="2"/>
          <w:sz w:val="24"/>
          <w:szCs w:val="24"/>
          <w:lang w:val="en-US" w:eastAsia="zh-CN" w:bidi="ar-SA"/>
        </w:rPr>
        <w:t xml:space="preserve"> 如需通过孔走线，过线孔应做防割线处理；</w:t>
      </w:r>
    </w:p>
    <w:p w14:paraId="526BD5F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j）</w:t>
      </w:r>
      <w:r>
        <w:rPr>
          <w:rFonts w:hint="eastAsia" w:ascii="宋体" w:hAnsi="宋体" w:eastAsia="宋体" w:cs="Times New Roman"/>
          <w:color w:val="000000"/>
          <w:kern w:val="2"/>
          <w:sz w:val="24"/>
          <w:szCs w:val="24"/>
          <w:lang w:val="en-US" w:eastAsia="zh-CN" w:bidi="ar-SA"/>
        </w:rPr>
        <w:t xml:space="preserve"> 各插头位置和插拔方向应合理，应做到插拔无障碍设计，具备防呆设计，有效避免误操作；</w:t>
      </w:r>
    </w:p>
    <w:p w14:paraId="112C864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k）</w:t>
      </w:r>
      <w:r>
        <w:rPr>
          <w:rFonts w:hint="eastAsia" w:ascii="宋体" w:hAnsi="宋体" w:eastAsia="宋体" w:cs="Times New Roman"/>
          <w:color w:val="000000"/>
          <w:kern w:val="2"/>
          <w:sz w:val="24"/>
          <w:szCs w:val="24"/>
          <w:lang w:val="en-US" w:eastAsia="zh-CN" w:bidi="ar-SA"/>
        </w:rPr>
        <w:t xml:space="preserve"> 各主要部件拆装无障碍，使用常规工具拆装，无特殊拆装工具需求；</w:t>
      </w:r>
    </w:p>
    <w:p w14:paraId="57B8DD04">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l）</w:t>
      </w:r>
      <w:r>
        <w:rPr>
          <w:rFonts w:hint="eastAsia" w:ascii="宋体" w:hAnsi="宋体" w:eastAsia="宋体" w:cs="Times New Roman"/>
          <w:color w:val="000000"/>
          <w:kern w:val="2"/>
          <w:sz w:val="24"/>
          <w:szCs w:val="24"/>
          <w:lang w:val="en-US" w:eastAsia="zh-CN" w:bidi="ar-SA"/>
        </w:rPr>
        <w:t xml:space="preserve"> 各主要部件拆装步骤要少，各自拆装需避免相互干扰；</w:t>
      </w:r>
    </w:p>
    <w:p w14:paraId="00F9859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m）</w:t>
      </w:r>
      <w:r>
        <w:rPr>
          <w:rFonts w:hint="eastAsia" w:ascii="宋体" w:hAnsi="宋体" w:eastAsia="宋体" w:cs="Times New Roman"/>
          <w:color w:val="000000"/>
          <w:kern w:val="2"/>
          <w:sz w:val="24"/>
          <w:szCs w:val="24"/>
          <w:lang w:val="en-US" w:eastAsia="zh-CN" w:bidi="ar-SA"/>
        </w:rPr>
        <w:t xml:space="preserve"> 对于整机或零部件外表面为高亮面的，应粘贴保护膜，保护膜需粘贴牢固，运输、组装等过程不易脱落，撕下无残留；</w:t>
      </w:r>
    </w:p>
    <w:p w14:paraId="26C83B1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n）</w:t>
      </w:r>
      <w:r>
        <w:rPr>
          <w:rFonts w:hint="eastAsia" w:ascii="宋体" w:hAnsi="宋体" w:eastAsia="宋体" w:cs="Times New Roman"/>
          <w:color w:val="000000"/>
          <w:kern w:val="2"/>
          <w:sz w:val="24"/>
          <w:szCs w:val="24"/>
          <w:lang w:val="en-US" w:eastAsia="zh-CN" w:bidi="ar-SA"/>
        </w:rPr>
        <w:t xml:space="preserve"> 其它要求应符合 GB/T 9813.1 的相关规定；</w:t>
      </w:r>
    </w:p>
    <w:p w14:paraId="26077CA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整机</w:t>
      </w:r>
      <w:r>
        <w:rPr>
          <w:rFonts w:hint="eastAsia" w:cs="Times New Roman"/>
          <w:color w:val="000000"/>
          <w:kern w:val="2"/>
          <w:sz w:val="24"/>
          <w:szCs w:val="24"/>
          <w:lang w:val="en-US" w:eastAsia="zh-CN" w:bidi="ar-SA"/>
        </w:rPr>
        <w:t>噪声</w:t>
      </w:r>
      <w:r>
        <w:rPr>
          <w:rFonts w:hint="eastAsia" w:ascii="宋体" w:hAnsi="宋体" w:eastAsia="宋体" w:cs="Times New Roman"/>
          <w:color w:val="000000"/>
          <w:kern w:val="2"/>
          <w:sz w:val="24"/>
          <w:szCs w:val="24"/>
          <w:lang w:val="en-US" w:eastAsia="zh-CN" w:bidi="ar-SA"/>
        </w:rPr>
        <w:t>：产品工作在空闲状态下，产品的声功率级应不超过4.5 Bel；</w:t>
      </w:r>
    </w:p>
    <w:p w14:paraId="1E5D225D">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11.</w:t>
      </w:r>
      <w:r>
        <w:rPr>
          <w:rFonts w:hint="eastAsia" w:ascii="宋体" w:hAnsi="宋体" w:eastAsia="宋体" w:cs="Times New Roman"/>
          <w:color w:val="000000"/>
          <w:kern w:val="2"/>
          <w:sz w:val="24"/>
          <w:szCs w:val="24"/>
          <w:lang w:val="en-US" w:eastAsia="zh-CN" w:bidi="ar-SA"/>
        </w:rPr>
        <w:t>CPU性能</w:t>
      </w:r>
    </w:p>
    <w:p w14:paraId="0AE98A80">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 xml:space="preserve">CPU物理核数：≥20； </w:t>
      </w:r>
    </w:p>
    <w:p w14:paraId="7B48F7C7">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 xml:space="preserve">(2)CPU主频：≥2.1GHz； </w:t>
      </w:r>
    </w:p>
    <w:p w14:paraId="20758FB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 xml:space="preserve">CPU末级缓存容量：≥33MB； </w:t>
      </w:r>
    </w:p>
    <w:p w14:paraId="09A65354">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CPU支持的内存最高速率：≥5600MT/s。</w:t>
      </w:r>
    </w:p>
    <w:p w14:paraId="31AED5F5">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12.</w:t>
      </w:r>
      <w:r>
        <w:rPr>
          <w:rFonts w:hint="eastAsia" w:ascii="宋体" w:hAnsi="宋体" w:eastAsia="宋体" w:cs="Times New Roman"/>
          <w:color w:val="000000"/>
          <w:kern w:val="2"/>
          <w:sz w:val="24"/>
          <w:szCs w:val="24"/>
          <w:lang w:val="en-US" w:eastAsia="zh-CN" w:bidi="ar-SA"/>
        </w:rPr>
        <w:t>内存性能</w:t>
      </w:r>
    </w:p>
    <w:p w14:paraId="74B050E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内存读写速率：≥4400MT/s</w:t>
      </w:r>
    </w:p>
    <w:p w14:paraId="4759F51C">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13.</w:t>
      </w:r>
      <w:r>
        <w:rPr>
          <w:rFonts w:hint="eastAsia" w:ascii="宋体" w:hAnsi="宋体" w:eastAsia="宋体" w:cs="Times New Roman"/>
          <w:color w:val="000000"/>
          <w:kern w:val="2"/>
          <w:sz w:val="24"/>
          <w:szCs w:val="24"/>
          <w:lang w:val="en-US" w:eastAsia="zh-CN" w:bidi="ar-SA"/>
        </w:rPr>
        <w:t>显示设备性能</w:t>
      </w:r>
    </w:p>
    <w:p w14:paraId="002C95DD">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显示屏刷新率：≥60Hz；</w:t>
      </w:r>
    </w:p>
    <w:p w14:paraId="5903552A">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显示屏位深：≥8 位；</w:t>
      </w:r>
    </w:p>
    <w:p w14:paraId="5B1E08A5">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显示屏色域：≥99% sRGB色域；</w:t>
      </w:r>
    </w:p>
    <w:p w14:paraId="3B6C00FC">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显示屏色准：△E ≤ 3；</w:t>
      </w:r>
    </w:p>
    <w:p w14:paraId="3C7E901C">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显示屏响应时间：≤6ms；</w:t>
      </w:r>
    </w:p>
    <w:p w14:paraId="265B18EC">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显示屏亮度：≥300尼特；</w:t>
      </w:r>
    </w:p>
    <w:p w14:paraId="702389B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（7）</w:t>
      </w:r>
      <w:r>
        <w:rPr>
          <w:rFonts w:hint="eastAsia" w:ascii="宋体" w:hAnsi="宋体" w:eastAsia="宋体" w:cs="Times New Roman"/>
          <w:color w:val="000000"/>
          <w:kern w:val="2"/>
          <w:sz w:val="24"/>
          <w:szCs w:val="24"/>
          <w:lang w:val="en-US" w:eastAsia="zh-CN" w:bidi="ar-SA"/>
        </w:rPr>
        <w:t>显示屏亮度一致性：≥70%；</w:t>
      </w:r>
    </w:p>
    <w:p w14:paraId="5FABB417">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（8）</w:t>
      </w:r>
      <w:r>
        <w:rPr>
          <w:rFonts w:hint="eastAsia" w:ascii="宋体" w:hAnsi="宋体" w:eastAsia="宋体" w:cs="Times New Roman"/>
          <w:color w:val="000000"/>
          <w:kern w:val="2"/>
          <w:sz w:val="24"/>
          <w:szCs w:val="24"/>
          <w:lang w:val="en-US" w:eastAsia="zh-CN" w:bidi="ar-SA"/>
        </w:rPr>
        <w:t>显示屏对比度：≥1000：1；</w:t>
      </w:r>
    </w:p>
    <w:p w14:paraId="452C9DFA">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（9）</w:t>
      </w:r>
      <w:r>
        <w:rPr>
          <w:rFonts w:hint="eastAsia" w:ascii="宋体" w:hAnsi="宋体" w:eastAsia="宋体" w:cs="Times New Roman"/>
          <w:color w:val="000000"/>
          <w:kern w:val="2"/>
          <w:sz w:val="24"/>
          <w:szCs w:val="24"/>
          <w:lang w:val="en-US" w:eastAsia="zh-CN" w:bidi="ar-SA"/>
        </w:rPr>
        <w:t>显示屏其他参数：其它参数应符合 SJ/T 11292 的相关规定；</w:t>
      </w:r>
    </w:p>
    <w:p w14:paraId="4FC91B19">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14.</w:t>
      </w:r>
      <w:r>
        <w:rPr>
          <w:rFonts w:hint="eastAsia" w:ascii="宋体" w:hAnsi="宋体" w:eastAsia="宋体" w:cs="Times New Roman"/>
          <w:color w:val="000000"/>
          <w:kern w:val="2"/>
          <w:sz w:val="24"/>
          <w:szCs w:val="24"/>
          <w:lang w:val="en-US" w:eastAsia="zh-CN" w:bidi="ar-SA"/>
        </w:rPr>
        <w:t>网络设备性能</w:t>
      </w:r>
    </w:p>
    <w:p w14:paraId="6F290B1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网络功能：</w:t>
      </w:r>
    </w:p>
    <w:p w14:paraId="561ABA8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①支持网络连接、网络开启/关闭功能；</w:t>
      </w:r>
    </w:p>
    <w:p w14:paraId="0A63BB2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②支持访问网络和数据交换功能；</w:t>
      </w:r>
    </w:p>
    <w:p w14:paraId="49D46307">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数据传输：支持数据传输能力，并提供异常日志记录功能；</w:t>
      </w:r>
    </w:p>
    <w:p w14:paraId="06D00A00">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有线网卡接口类型：支持RJ45接口；有线网卡速率：最高速率不低于1000Mbps，支持10Mbps、100Mbps、1000Mbps速率自适应；</w:t>
      </w:r>
    </w:p>
    <w:p w14:paraId="40C0C8E5">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15.</w:t>
      </w:r>
      <w:r>
        <w:rPr>
          <w:rFonts w:hint="eastAsia" w:ascii="宋体" w:hAnsi="宋体" w:eastAsia="宋体" w:cs="Times New Roman"/>
          <w:color w:val="000000"/>
          <w:kern w:val="2"/>
          <w:sz w:val="24"/>
          <w:szCs w:val="24"/>
          <w:lang w:val="en-US" w:eastAsia="zh-CN" w:bidi="ar-SA"/>
        </w:rPr>
        <w:t>主板功能</w:t>
      </w:r>
      <w:r>
        <w:rPr>
          <w:rFonts w:hint="eastAsia" w:ascii="宋体" w:hAnsi="宋体" w:eastAsia="宋体" w:cs="Times New Roman"/>
          <w:color w:val="000000"/>
          <w:kern w:val="2"/>
          <w:sz w:val="24"/>
          <w:szCs w:val="24"/>
          <w:lang w:val="en-US" w:eastAsia="zh-CN" w:bidi="ar-SA"/>
        </w:rPr>
        <w:tab/>
      </w:r>
      <w:r>
        <w:rPr>
          <w:rFonts w:hint="eastAsia" w:ascii="宋体" w:hAnsi="宋体" w:eastAsia="宋体" w:cs="Times New Roman"/>
          <w:color w:val="000000"/>
          <w:kern w:val="2"/>
          <w:sz w:val="24"/>
          <w:szCs w:val="24"/>
          <w:lang w:val="en-US" w:eastAsia="zh-CN" w:bidi="ar-SA"/>
        </w:rPr>
        <w:tab/>
      </w:r>
    </w:p>
    <w:p w14:paraId="2177AE0D">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 xml:space="preserve">内存扩展接口：≥4个； </w:t>
      </w:r>
    </w:p>
    <w:p w14:paraId="12993D9D">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 xml:space="preserve">存储扩展接口：支持存储设备扩展接口≥5 个，其中至少包含2个SATA3.0和3个M. 2NVME 2280； </w:t>
      </w:r>
    </w:p>
    <w:p w14:paraId="79410B29">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 xml:space="preserve">主板USB支持有瞬间过流保护功能； </w:t>
      </w:r>
    </w:p>
    <w:p w14:paraId="1464C457">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 xml:space="preserve">主板支持防静电保护功能； </w:t>
      </w:r>
    </w:p>
    <w:p w14:paraId="782CCA9D">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I/O接口功能：提供基于标准 USB 接口外设连接功能、基于音频输入输出接口的音频扩展功能、基于 PCIe 接口板卡扩展功能、基于 HDMI/VGA/Type-C/DVI/DP 等接口外接显示器扩展功能、基于存储接口对产品进行增容功能等。工作站 I/O 接口应具备外接标准 USB 设备、显示器、音频设备等内外部设备能力；</w:t>
      </w:r>
    </w:p>
    <w:p w14:paraId="2E5DD4F1">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16.</w:t>
      </w:r>
      <w:r>
        <w:rPr>
          <w:rFonts w:hint="eastAsia" w:ascii="宋体" w:hAnsi="宋体" w:eastAsia="宋体" w:cs="Times New Roman"/>
          <w:color w:val="000000"/>
          <w:kern w:val="2"/>
          <w:sz w:val="24"/>
          <w:szCs w:val="24"/>
          <w:lang w:val="en-US" w:eastAsia="zh-CN" w:bidi="ar-SA"/>
        </w:rPr>
        <w:t>显示设备功能</w:t>
      </w:r>
    </w:p>
    <w:p w14:paraId="4015678D">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显示器应与显卡外接显示接口匹配</w:t>
      </w:r>
      <w:r>
        <w:rPr>
          <w:rFonts w:hint="eastAsia" w:cs="Times New Roman"/>
          <w:color w:val="000000"/>
          <w:kern w:val="2"/>
          <w:sz w:val="24"/>
          <w:szCs w:val="24"/>
          <w:lang w:val="en-US" w:eastAsia="zh-CN" w:bidi="ar-SA"/>
        </w:rPr>
        <w:t>；</w:t>
      </w:r>
    </w:p>
    <w:p w14:paraId="4BEA427A">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17.</w:t>
      </w:r>
      <w:r>
        <w:rPr>
          <w:rFonts w:hint="eastAsia" w:ascii="宋体" w:hAnsi="宋体" w:eastAsia="宋体" w:cs="Times New Roman"/>
          <w:color w:val="000000"/>
          <w:kern w:val="2"/>
          <w:sz w:val="24"/>
          <w:szCs w:val="24"/>
          <w:lang w:val="en-US" w:eastAsia="zh-CN" w:bidi="ar-SA"/>
        </w:rPr>
        <w:t>存储功能</w:t>
      </w:r>
    </w:p>
    <w:p w14:paraId="161D84B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通过 SATA 固态存储/PCIe 固态存储 /UFS 固态存储/SATA 硬磁盘等存储部件提供存储功能</w:t>
      </w:r>
    </w:p>
    <w:p w14:paraId="1E4AB4E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18.</w:t>
      </w:r>
      <w:r>
        <w:rPr>
          <w:rFonts w:hint="eastAsia" w:ascii="宋体" w:hAnsi="宋体" w:eastAsia="宋体" w:cs="Times New Roman"/>
          <w:color w:val="000000"/>
          <w:kern w:val="2"/>
          <w:sz w:val="24"/>
          <w:szCs w:val="24"/>
          <w:lang w:val="en-US" w:eastAsia="zh-CN" w:bidi="ar-SA"/>
        </w:rPr>
        <w:t>网络设备功能</w:t>
      </w:r>
    </w:p>
    <w:p w14:paraId="7D127BF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 xml:space="preserve">网络功能：支持网络连接、网络开启/关闭功能，支持访问网络和数据交换功能； </w:t>
      </w:r>
    </w:p>
    <w:p w14:paraId="77ED218A">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 xml:space="preserve">数据传输：支持数据传输能力，并提供数据流量和异常日志记录功能； </w:t>
      </w:r>
    </w:p>
    <w:p w14:paraId="2D835B25">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有线网卡接口类型：支持RJ45接口。</w:t>
      </w:r>
    </w:p>
    <w:p w14:paraId="1835ABF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网络设备拆装：网络设备支持物理拆装，包括无线网卡和蓝牙模块等；</w:t>
      </w:r>
    </w:p>
    <w:p w14:paraId="02E55AA0">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19.</w:t>
      </w:r>
      <w:r>
        <w:rPr>
          <w:rFonts w:hint="eastAsia" w:ascii="宋体" w:hAnsi="宋体" w:eastAsia="宋体" w:cs="Times New Roman"/>
          <w:color w:val="000000"/>
          <w:kern w:val="2"/>
          <w:sz w:val="24"/>
          <w:szCs w:val="24"/>
          <w:lang w:val="en-US" w:eastAsia="zh-CN" w:bidi="ar-SA"/>
        </w:rPr>
        <w:t>外部接口功能</w:t>
      </w:r>
      <w:r>
        <w:rPr>
          <w:rFonts w:hint="eastAsia" w:ascii="宋体" w:hAnsi="宋体" w:eastAsia="宋体" w:cs="Times New Roman"/>
          <w:color w:val="000000"/>
          <w:kern w:val="2"/>
          <w:sz w:val="24"/>
          <w:szCs w:val="24"/>
          <w:lang w:val="en-US" w:eastAsia="zh-CN" w:bidi="ar-SA"/>
        </w:rPr>
        <w:tab/>
      </w:r>
      <w:r>
        <w:rPr>
          <w:rFonts w:hint="eastAsia" w:ascii="宋体" w:hAnsi="宋体" w:eastAsia="宋体" w:cs="Times New Roman"/>
          <w:color w:val="000000"/>
          <w:kern w:val="2"/>
          <w:sz w:val="24"/>
          <w:szCs w:val="24"/>
          <w:lang w:val="en-US" w:eastAsia="zh-CN" w:bidi="ar-SA"/>
        </w:rPr>
        <w:tab/>
      </w:r>
      <w:r>
        <w:rPr>
          <w:rFonts w:hint="eastAsia" w:ascii="宋体" w:hAnsi="宋体" w:eastAsia="宋体" w:cs="Times New Roman"/>
          <w:color w:val="000000"/>
          <w:kern w:val="2"/>
          <w:sz w:val="24"/>
          <w:szCs w:val="24"/>
          <w:lang w:val="en-US" w:eastAsia="zh-CN" w:bidi="ar-SA"/>
        </w:rPr>
        <w:tab/>
      </w:r>
    </w:p>
    <w:p w14:paraId="36E3136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音频接口类型：支持3.5mm孔径3段式；</w:t>
      </w:r>
    </w:p>
    <w:p w14:paraId="2329FF99">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 xml:space="preserve">视频接口类型：同时支持VGA、HDMI、DP三种显示接口； </w:t>
      </w:r>
    </w:p>
    <w:p w14:paraId="37BB2DB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HDMI、DP显示接口要求：应支持音频和视频同步输出。</w:t>
      </w:r>
    </w:p>
    <w:p w14:paraId="22432010">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20.</w:t>
      </w:r>
      <w:r>
        <w:rPr>
          <w:rFonts w:hint="eastAsia" w:ascii="宋体" w:hAnsi="宋体" w:eastAsia="宋体" w:cs="Times New Roman"/>
          <w:color w:val="000000"/>
          <w:kern w:val="2"/>
          <w:sz w:val="24"/>
          <w:szCs w:val="24"/>
          <w:lang w:val="en-US" w:eastAsia="zh-CN" w:bidi="ar-SA"/>
        </w:rPr>
        <w:t>电源功能</w:t>
      </w:r>
    </w:p>
    <w:p w14:paraId="5D017BF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电源功率额定功率≥500W，可以在90V</w:t>
      </w: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265V电压区间正常工作，能效≥92%；</w:t>
      </w:r>
      <w:r>
        <w:rPr>
          <w:rFonts w:hint="eastAsia" w:ascii="宋体" w:hAnsi="宋体" w:eastAsia="宋体" w:cs="Times New Roman"/>
          <w:color w:val="000000"/>
          <w:kern w:val="2"/>
          <w:sz w:val="24"/>
          <w:szCs w:val="24"/>
          <w:lang w:val="en-US" w:eastAsia="zh-CN" w:bidi="ar-SA"/>
        </w:rPr>
        <w:tab/>
      </w:r>
    </w:p>
    <w:p w14:paraId="2FEAFF0C">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21.</w:t>
      </w:r>
      <w:r>
        <w:rPr>
          <w:rFonts w:hint="eastAsia" w:ascii="宋体" w:hAnsi="宋体" w:eastAsia="宋体" w:cs="Times New Roman"/>
          <w:color w:val="000000"/>
          <w:kern w:val="2"/>
          <w:sz w:val="24"/>
          <w:szCs w:val="24"/>
          <w:lang w:val="en-US" w:eastAsia="zh-CN" w:bidi="ar-SA"/>
        </w:rPr>
        <w:t>操作系统及软件功能</w:t>
      </w:r>
    </w:p>
    <w:p w14:paraId="5CD3D71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操作系统备份及还原功能：支持操作系统备份及还原功能；</w:t>
      </w:r>
    </w:p>
    <w:p w14:paraId="41D4290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固件备份还原能力：支持备份及还原固件的功能；</w:t>
      </w:r>
    </w:p>
    <w:p w14:paraId="15AC92A5">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操作系统及驱动升级：支持通过网络、闪存盘等方式对操作系统、驱动进行升级；兼容医院现有各类专业医疗软件，保证医院现有系统软件和新上系统软件以及省市医保平台能正常使用；</w:t>
      </w:r>
      <w:r>
        <w:rPr>
          <w:rFonts w:hint="eastAsia" w:ascii="宋体" w:hAnsi="宋体" w:eastAsia="宋体" w:cs="Times New Roman"/>
          <w:color w:val="000000"/>
          <w:kern w:val="2"/>
          <w:sz w:val="24"/>
          <w:szCs w:val="24"/>
          <w:lang w:val="en-US" w:eastAsia="zh-CN" w:bidi="ar-SA"/>
        </w:rPr>
        <w:tab/>
      </w:r>
    </w:p>
    <w:p w14:paraId="119CFB1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22.</w:t>
      </w:r>
      <w:r>
        <w:rPr>
          <w:rFonts w:hint="eastAsia" w:ascii="宋体" w:hAnsi="宋体" w:eastAsia="宋体" w:cs="Times New Roman"/>
          <w:color w:val="000000"/>
          <w:kern w:val="2"/>
          <w:sz w:val="24"/>
          <w:szCs w:val="24"/>
          <w:lang w:val="en-US" w:eastAsia="zh-CN" w:bidi="ar-SA"/>
        </w:rPr>
        <w:t>存储设备可靠性</w:t>
      </w:r>
    </w:p>
    <w:p w14:paraId="3905F37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固态存储寿命：TBW ≥ 80TB；</w:t>
      </w:r>
    </w:p>
    <w:p w14:paraId="226F0C44">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机械硬盘寿命：通电时间≥5 万小时；</w:t>
      </w:r>
    </w:p>
    <w:p w14:paraId="0FB28A51">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23.</w:t>
      </w:r>
      <w:r>
        <w:rPr>
          <w:rFonts w:hint="eastAsia" w:ascii="宋体" w:hAnsi="宋体" w:eastAsia="宋体" w:cs="Times New Roman"/>
          <w:color w:val="000000"/>
          <w:kern w:val="2"/>
          <w:sz w:val="24"/>
          <w:szCs w:val="24"/>
          <w:lang w:val="en-US" w:eastAsia="zh-CN" w:bidi="ar-SA"/>
        </w:rPr>
        <w:t>显示设备可靠性</w:t>
      </w:r>
    </w:p>
    <w:p w14:paraId="5FEFD2E0">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显示屏屏幕失效点：符合 GB/T 9813.2 的要求</w:t>
      </w:r>
    </w:p>
    <w:p w14:paraId="324C7F7A">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24.</w:t>
      </w:r>
      <w:r>
        <w:rPr>
          <w:rFonts w:hint="eastAsia" w:ascii="宋体" w:hAnsi="宋体" w:eastAsia="宋体" w:cs="Times New Roman"/>
          <w:color w:val="000000"/>
          <w:kern w:val="2"/>
          <w:sz w:val="24"/>
          <w:szCs w:val="24"/>
          <w:lang w:val="en-US" w:eastAsia="zh-CN" w:bidi="ar-SA"/>
        </w:rPr>
        <w:t>外设可靠性</w:t>
      </w:r>
    </w:p>
    <w:p w14:paraId="0B4AD2E0">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键盘按键寿命：≥1000 万次；</w:t>
      </w:r>
    </w:p>
    <w:p w14:paraId="0951A491">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鼠标按键寿命：≥500 万次；</w:t>
      </w:r>
    </w:p>
    <w:p w14:paraId="5C3DFB3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键盘鼠标线材寿命：键盘鼠标所用线材经±60°弯折不低于 3000 次，功能、外观完好；</w:t>
      </w:r>
    </w:p>
    <w:p w14:paraId="3C2C658D">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风扇寿命：≥4 万小时；</w:t>
      </w:r>
    </w:p>
    <w:p w14:paraId="1AC450EC">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25.</w:t>
      </w:r>
      <w:r>
        <w:rPr>
          <w:rFonts w:hint="eastAsia" w:ascii="宋体" w:hAnsi="宋体" w:eastAsia="宋体" w:cs="Times New Roman"/>
          <w:color w:val="000000"/>
          <w:kern w:val="2"/>
          <w:sz w:val="24"/>
          <w:szCs w:val="24"/>
          <w:lang w:val="en-US" w:eastAsia="zh-CN" w:bidi="ar-SA"/>
        </w:rPr>
        <w:t>整机可靠性要求</w:t>
      </w:r>
    </w:p>
    <w:p w14:paraId="20263DB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 xml:space="preserve">电磁兼容性要求的抗扰度：符合GB/T9254.2的规定； </w:t>
      </w:r>
    </w:p>
    <w:p w14:paraId="28190B9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环境条件要求的气候环境适应性：符合GB/T9813.</w:t>
      </w: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 xml:space="preserve">规定； </w:t>
      </w:r>
    </w:p>
    <w:p w14:paraId="1CE55B3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 xml:space="preserve">环境条件要求的振动适应性：符合GB/T9813.1规定； </w:t>
      </w:r>
    </w:p>
    <w:p w14:paraId="5E0FA14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 xml:space="preserve">环境条件要求的冲击适应性：符合GB/T9813.1规定； </w:t>
      </w:r>
    </w:p>
    <w:p w14:paraId="47DBD9C0">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 xml:space="preserve">环境条件要求的碰撞适应性：符合GB/T9813.1规定； </w:t>
      </w:r>
    </w:p>
    <w:p w14:paraId="2540DCA7">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环境条件要求的运输包装件跌落适应性：符合GB/T9813.1规定；</w:t>
      </w:r>
    </w:p>
    <w:p w14:paraId="465173A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（7）</w:t>
      </w:r>
      <w:r>
        <w:rPr>
          <w:rFonts w:hint="eastAsia" w:ascii="宋体" w:hAnsi="宋体" w:eastAsia="宋体" w:cs="Times New Roman"/>
          <w:color w:val="000000"/>
          <w:kern w:val="2"/>
          <w:sz w:val="24"/>
          <w:szCs w:val="24"/>
          <w:lang w:val="en-US" w:eastAsia="zh-CN" w:bidi="ar-SA"/>
        </w:rPr>
        <w:t>MTBF测试：不低于100万小时；</w:t>
      </w:r>
    </w:p>
    <w:p w14:paraId="6BCDCF3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26.</w:t>
      </w:r>
      <w:r>
        <w:rPr>
          <w:rFonts w:hint="eastAsia" w:ascii="宋体" w:hAnsi="宋体" w:eastAsia="宋体" w:cs="Times New Roman"/>
          <w:color w:val="000000"/>
          <w:kern w:val="2"/>
          <w:sz w:val="24"/>
          <w:szCs w:val="24"/>
          <w:lang w:val="en-US" w:eastAsia="zh-CN" w:bidi="ar-SA"/>
        </w:rPr>
        <w:t>兼容要求</w:t>
      </w:r>
    </w:p>
    <w:p w14:paraId="535E0A7C">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常用软件兼容：应支持流式软件、版式软件、浏览器、邮件客户端、解压软件、多媒体、图形图像处理等常用软件；</w:t>
      </w:r>
    </w:p>
    <w:p w14:paraId="7D3D69C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数据库兼容：兼容 3 个及以上厂商的数据库产品；</w:t>
      </w:r>
    </w:p>
    <w:p w14:paraId="4FB0AEAB">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中间件兼容：兼容 3 个及以上厂商中间件产品；</w:t>
      </w:r>
    </w:p>
    <w:p w14:paraId="59E6B63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平台软件兼容：兼容 3 个及以上厂商云计算及大数据平台；</w:t>
      </w:r>
    </w:p>
    <w:p w14:paraId="36FECDF0">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27.</w:t>
      </w:r>
      <w:r>
        <w:rPr>
          <w:rFonts w:hint="eastAsia" w:ascii="宋体" w:hAnsi="宋体" w:eastAsia="宋体" w:cs="Times New Roman"/>
          <w:color w:val="000000"/>
          <w:kern w:val="2"/>
          <w:sz w:val="24"/>
          <w:szCs w:val="24"/>
          <w:lang w:val="en-US" w:eastAsia="zh-CN" w:bidi="ar-SA"/>
        </w:rPr>
        <w:t>包装及运输要求</w:t>
      </w:r>
    </w:p>
    <w:p w14:paraId="19E14E44">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标志、包装、运输和贮存：符合 GB/T9813.1 和商品包装政府采购需求标准的相关规定；</w:t>
      </w:r>
    </w:p>
    <w:p w14:paraId="62399C3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28.</w:t>
      </w:r>
      <w:r>
        <w:rPr>
          <w:rFonts w:hint="eastAsia" w:ascii="宋体" w:hAnsi="宋体" w:eastAsia="宋体" w:cs="Times New Roman"/>
          <w:color w:val="000000"/>
          <w:kern w:val="2"/>
          <w:sz w:val="24"/>
          <w:szCs w:val="24"/>
          <w:lang w:val="en-US" w:eastAsia="zh-CN" w:bidi="ar-SA"/>
        </w:rPr>
        <w:t>服务要求</w:t>
      </w:r>
    </w:p>
    <w:p w14:paraId="36AC908C">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提供产品三年维保及上门服务，服务本地化：制造厂商在产品交付使用的本级行政区域内设有官方授权维修站，提供主机原厂年部件及人工服务，原厂400/800 技术支持，可通过网络、电话、邮件等方式提供软硬件技术支持；</w:t>
      </w:r>
    </w:p>
    <w:p w14:paraId="73D49E6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服务周期：支持产品延保≥3 年，提供每年延保服务报价，提供备件服务能力≥6 年（自购买之</w:t>
      </w:r>
      <w:r>
        <w:rPr>
          <w:rFonts w:hint="eastAsia" w:cs="Times New Roman"/>
          <w:color w:val="000000"/>
          <w:kern w:val="2"/>
          <w:sz w:val="24"/>
          <w:szCs w:val="24"/>
          <w:lang w:val="en-US" w:eastAsia="zh-CN" w:bidi="ar-SA"/>
        </w:rPr>
        <w:t>日起</w:t>
      </w:r>
      <w:r>
        <w:rPr>
          <w:rFonts w:hint="eastAsia" w:ascii="宋体" w:hAnsi="宋体" w:eastAsia="宋体" w:cs="Times New Roman"/>
          <w:color w:val="000000"/>
          <w:kern w:val="2"/>
          <w:sz w:val="24"/>
          <w:szCs w:val="24"/>
          <w:lang w:val="en-US" w:eastAsia="zh-CN" w:bidi="ar-SA"/>
        </w:rPr>
        <w:t>）；</w:t>
      </w:r>
    </w:p>
    <w:p w14:paraId="3BF1DA5D">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29.</w:t>
      </w:r>
      <w:r>
        <w:rPr>
          <w:rFonts w:hint="eastAsia" w:ascii="宋体" w:hAnsi="宋体" w:eastAsia="宋体" w:cs="Times New Roman"/>
          <w:color w:val="000000"/>
          <w:kern w:val="2"/>
          <w:sz w:val="24"/>
          <w:szCs w:val="24"/>
          <w:lang w:val="en-US" w:eastAsia="zh-CN" w:bidi="ar-SA"/>
        </w:rPr>
        <w:t>供应链合规性</w:t>
      </w:r>
      <w:r>
        <w:rPr>
          <w:rFonts w:hint="eastAsia" w:ascii="宋体" w:hAnsi="宋体" w:eastAsia="宋体" w:cs="Times New Roman"/>
          <w:color w:val="000000"/>
          <w:kern w:val="2"/>
          <w:sz w:val="24"/>
          <w:szCs w:val="24"/>
          <w:lang w:val="en-US" w:eastAsia="zh-CN" w:bidi="ar-SA"/>
        </w:rPr>
        <w:tab/>
      </w:r>
    </w:p>
    <w:p w14:paraId="451B1DE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产品部件保障：保障产品主要部件提供 6 年的备件服务能力</w:t>
      </w: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自购买之日起</w:t>
      </w: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，或提供可兼容原设备的升级换代产品；</w:t>
      </w:r>
    </w:p>
    <w:p w14:paraId="5084B66E">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30.</w:t>
      </w:r>
      <w:r>
        <w:rPr>
          <w:rFonts w:hint="eastAsia" w:ascii="宋体" w:hAnsi="宋体" w:eastAsia="宋体" w:cs="Times New Roman"/>
          <w:color w:val="000000"/>
          <w:kern w:val="2"/>
          <w:sz w:val="24"/>
          <w:szCs w:val="24"/>
          <w:lang w:val="en-US" w:eastAsia="zh-CN" w:bidi="ar-SA"/>
        </w:rPr>
        <w:t>供应链质量</w:t>
      </w:r>
    </w:p>
    <w:p w14:paraId="7C278979">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抗干扰性：当产品部件出现供应风险时，供应商应通知采购人并提供风险应对方案确保产品的服务保障</w:t>
      </w:r>
    </w:p>
    <w:p w14:paraId="1BAC99C9">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供应能力证明：供应商确保产品的部件在产品服务周期内稳定供货；</w:t>
      </w:r>
    </w:p>
    <w:p w14:paraId="366F7E3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31.</w:t>
      </w:r>
      <w:r>
        <w:rPr>
          <w:rFonts w:hint="eastAsia" w:ascii="宋体" w:hAnsi="宋体" w:eastAsia="宋体" w:cs="Times New Roman"/>
          <w:color w:val="000000"/>
          <w:kern w:val="2"/>
          <w:sz w:val="24"/>
          <w:szCs w:val="24"/>
          <w:lang w:val="en-US" w:eastAsia="zh-CN" w:bidi="ar-SA"/>
        </w:rPr>
        <w:t>整机安全性要求</w:t>
      </w:r>
    </w:p>
    <w:p w14:paraId="426AA1E4">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密码算法实现：CPU芯片应符合GM/T 0008 的相关规定，或芯片密码模块应符合GB/T 37092 或GM/T 0028 的相关规定；</w:t>
      </w:r>
    </w:p>
    <w:p w14:paraId="32A401DD">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USB端口管控：支持 USB 端口管控</w:t>
      </w:r>
    </w:p>
    <w:p w14:paraId="31F1C4B5">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安全物理锁：支持安全物理锁</w:t>
      </w:r>
    </w:p>
    <w:p w14:paraId="7F7240C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信息安全基本要求：a) 应符合 GB/T 39276 的 5.2 的规定；b) 生产厂商应建立漏洞跟踪表，保证产品版本</w:t>
      </w:r>
      <w:r>
        <w:rPr>
          <w:rFonts w:hint="eastAsia" w:cs="Times New Roman"/>
          <w:color w:val="000000"/>
          <w:kern w:val="2"/>
          <w:sz w:val="24"/>
          <w:szCs w:val="24"/>
          <w:lang w:val="en-US" w:eastAsia="zh-CN" w:bidi="ar-SA"/>
        </w:rPr>
        <w:t>涉及</w:t>
      </w:r>
      <w:r>
        <w:rPr>
          <w:rFonts w:hint="eastAsia" w:ascii="宋体" w:hAnsi="宋体" w:eastAsia="宋体" w:cs="Times New Roman"/>
          <w:color w:val="000000"/>
          <w:kern w:val="2"/>
          <w:sz w:val="24"/>
          <w:szCs w:val="24"/>
          <w:lang w:val="en-US" w:eastAsia="zh-CN" w:bidi="ar-SA"/>
        </w:rPr>
        <w:t>的漏洞</w:t>
      </w: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如驱动程序等</w:t>
      </w: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可查看；c) 产品不得包含已知的恶意代码或漏洞，不存在未声明的指令、功能、接口；</w:t>
      </w:r>
    </w:p>
    <w:p w14:paraId="61BCEAC1">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固件安全启动：支持固件安全启动功能，固件启动过程中只有通过启动校验才能正常启动；</w:t>
      </w:r>
    </w:p>
    <w:p w14:paraId="3CECE890">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限用物质的限量要求：符合 GB/T 26572 中规定；</w:t>
      </w:r>
    </w:p>
    <w:p w14:paraId="359A2588">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32.</w:t>
      </w:r>
      <w:r>
        <w:rPr>
          <w:rFonts w:hint="eastAsia" w:ascii="宋体" w:hAnsi="宋体" w:eastAsia="宋体" w:cs="Times New Roman"/>
          <w:color w:val="000000"/>
          <w:kern w:val="2"/>
          <w:sz w:val="24"/>
          <w:szCs w:val="24"/>
          <w:lang w:val="en-US" w:eastAsia="zh-CN" w:bidi="ar-SA"/>
        </w:rPr>
        <w:t>质量标准</w:t>
      </w:r>
    </w:p>
    <w:p w14:paraId="680F3F8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供应商所投产品还应符合《财政部 工业和信息化部关于印发</w:t>
      </w:r>
      <w:r>
        <w:rPr>
          <w:rFonts w:hint="eastAsia"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工作站政府采购需求标准（2023年版）</w:t>
      </w:r>
      <w:r>
        <w:rPr>
          <w:rFonts w:hint="eastAsia" w:cs="Times New Roman"/>
          <w:color w:val="000000"/>
          <w:kern w:val="2"/>
          <w:sz w:val="24"/>
          <w:szCs w:val="24"/>
          <w:lang w:val="en-US" w:eastAsia="zh-CN" w:bidi="ar-SA"/>
        </w:rPr>
        <w:t>〉的通知》</w:t>
      </w:r>
      <w:r>
        <w:rPr>
          <w:rFonts w:hint="eastAsia" w:ascii="宋体" w:hAnsi="宋体" w:eastAsia="宋体" w:cs="Times New Roman"/>
          <w:color w:val="000000"/>
          <w:kern w:val="2"/>
          <w:sz w:val="24"/>
          <w:szCs w:val="24"/>
          <w:lang w:val="en-US" w:eastAsia="zh-CN" w:bidi="ar-SA"/>
        </w:rPr>
        <w:t>（财库〔2023〕32号）的附件《工作站政府采购需求标准（2023年版）》中规定的其他*内容。</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6954EE45">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eastAsia"/>
        </w:rPr>
      </w:pPr>
      <w:r>
        <w:rPr>
          <w:rFonts w:hint="eastAsia"/>
        </w:rPr>
        <w:t xml:space="preserve">（1）本项目质保期3年，质保期内提供7×24小时的技术支持服务，配置专门固定的售后服务电话。接到采购人系统故障报修应10分钟内响应，如4小时内无法电话解决问题，维修人员必须在24小时之内到达现场（含节假日），紧急情况须在接到采购人报修后4小时内到达现场维修处理，故障排除在1个工作日内，若需更长时间，成交供货商须提供备用设备或提出切实可行的解决方案。 </w:t>
      </w:r>
    </w:p>
    <w:p w14:paraId="62820640">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eastAsia"/>
        </w:rPr>
      </w:pPr>
      <w:r>
        <w:rPr>
          <w:rFonts w:hint="eastAsia"/>
        </w:rPr>
        <w:t xml:space="preserve">（2）现场培训：在产品安装完成后，供应商必须提供相应的现场培训，内容涉及虚拟化平台硬盘、内存日常的运行、排障、维护。 </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rPr>
        <w:t>（3）供应商所提供的所有产品均需符合国家产品的有关质量标准。产品是全新的、出厂后未开封使用过的设备。</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w:t>
      </w:r>
      <w:r>
        <w:rPr>
          <w:rFonts w:hint="eastAsia" w:ascii="Times New Roman" w:hAnsi="Times New Roman" w:cs="Times New Roman"/>
          <w:b/>
          <w:bCs/>
          <w:color w:val="auto"/>
          <w:kern w:val="2"/>
          <w:sz w:val="24"/>
          <w:szCs w:val="24"/>
          <w:lang w:val="en-US" w:eastAsia="zh-CN" w:bidi="ar-SA"/>
        </w:rPr>
        <w:t>容和</w:t>
      </w:r>
      <w:r>
        <w:rPr>
          <w:rFonts w:hint="eastAsia" w:ascii="Times New Roman" w:hAnsi="Times New Roman" w:eastAsia="宋体" w:cs="Times New Roman"/>
          <w:b/>
          <w:bCs/>
          <w:color w:val="auto"/>
          <w:kern w:val="2"/>
          <w:sz w:val="24"/>
          <w:szCs w:val="24"/>
          <w:lang w:val="en-US" w:eastAsia="zh-CN" w:bidi="ar-SA"/>
        </w:rPr>
        <w:t>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合同签订生效后</w:t>
      </w:r>
      <w:r>
        <w:rPr>
          <w:rFonts w:hint="eastAsia" w:cs="宋体"/>
          <w:color w:val="auto"/>
          <w:sz w:val="24"/>
          <w:szCs w:val="24"/>
          <w:lang w:val="en-US" w:eastAsia="zh-CN"/>
        </w:rPr>
        <w:t>，产品</w:t>
      </w:r>
      <w:r>
        <w:rPr>
          <w:rFonts w:hint="eastAsia" w:ascii="宋体" w:hAnsi="宋体" w:eastAsia="宋体" w:cs="宋体"/>
          <w:color w:val="auto"/>
          <w:sz w:val="24"/>
          <w:szCs w:val="24"/>
          <w:lang w:val="en-US" w:eastAsia="zh-CN"/>
        </w:rPr>
        <w:t>完成验收合格后，支付合同总金额的</w:t>
      </w:r>
      <w:r>
        <w:rPr>
          <w:rFonts w:hint="eastAsia" w:cs="宋体"/>
          <w:color w:val="auto"/>
          <w:sz w:val="24"/>
          <w:szCs w:val="24"/>
          <w:lang w:val="en-US" w:eastAsia="zh-CN"/>
        </w:rPr>
        <w:t>10</w:t>
      </w:r>
      <w:r>
        <w:rPr>
          <w:rFonts w:hint="eastAsia" w:ascii="宋体" w:hAnsi="宋体" w:eastAsia="宋体" w:cs="宋体"/>
          <w:color w:val="auto"/>
          <w:sz w:val="24"/>
          <w:szCs w:val="24"/>
          <w:lang w:val="en-US" w:eastAsia="zh-CN"/>
        </w:rPr>
        <w:t>0%。</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7591517">
      <w:pPr>
        <w:pStyle w:val="14"/>
        <w:rPr>
          <w:rFonts w:hint="eastAsia" w:ascii="黑体" w:hAnsi="宋体" w:eastAsia="黑体"/>
          <w:b/>
          <w:bCs/>
          <w:sz w:val="32"/>
          <w:szCs w:val="32"/>
        </w:rPr>
      </w:pPr>
    </w:p>
    <w:p w14:paraId="07712DF0">
      <w:pPr>
        <w:pStyle w:val="14"/>
        <w:rPr>
          <w:rFonts w:hint="eastAsia" w:ascii="黑体" w:hAnsi="宋体" w:eastAsia="黑体"/>
          <w:b/>
          <w:bCs/>
          <w:sz w:val="32"/>
          <w:szCs w:val="32"/>
        </w:rPr>
      </w:pPr>
    </w:p>
    <w:p w14:paraId="166F0C23">
      <w:pPr>
        <w:pStyle w:val="14"/>
        <w:rPr>
          <w:rFonts w:hint="eastAsia" w:ascii="黑体" w:hAnsi="宋体" w:eastAsia="黑体"/>
          <w:b/>
          <w:bCs/>
          <w:sz w:val="32"/>
          <w:szCs w:val="32"/>
        </w:rPr>
      </w:pPr>
    </w:p>
    <w:p w14:paraId="00C8D41D">
      <w:pPr>
        <w:pStyle w:val="14"/>
        <w:rPr>
          <w:rFonts w:hint="eastAsia" w:ascii="黑体" w:hAnsi="宋体" w:eastAsia="黑体"/>
          <w:b/>
          <w:bCs/>
          <w:sz w:val="32"/>
          <w:szCs w:val="32"/>
        </w:rPr>
      </w:pPr>
    </w:p>
    <w:p w14:paraId="07B1B4CE">
      <w:pPr>
        <w:pStyle w:val="14"/>
        <w:rPr>
          <w:rFonts w:hint="eastAsia" w:ascii="黑体" w:hAnsi="宋体" w:eastAsia="黑体"/>
          <w:b/>
          <w:bCs/>
          <w:sz w:val="32"/>
          <w:szCs w:val="32"/>
        </w:rPr>
      </w:pPr>
    </w:p>
    <w:p w14:paraId="232B5C90">
      <w:pPr>
        <w:pStyle w:val="14"/>
        <w:rPr>
          <w:rFonts w:hint="eastAsia" w:ascii="黑体" w:hAnsi="宋体" w:eastAsia="黑体"/>
          <w:b/>
          <w:bCs/>
          <w:sz w:val="32"/>
          <w:szCs w:val="32"/>
        </w:rPr>
      </w:pPr>
    </w:p>
    <w:p w14:paraId="7B46F148">
      <w:pPr>
        <w:pStyle w:val="14"/>
        <w:rPr>
          <w:rFonts w:hint="eastAsia" w:ascii="黑体" w:hAnsi="宋体" w:eastAsia="黑体"/>
          <w:b/>
          <w:bCs/>
          <w:sz w:val="32"/>
          <w:szCs w:val="32"/>
        </w:rPr>
      </w:pPr>
    </w:p>
    <w:p w14:paraId="3C587E7D">
      <w:pPr>
        <w:pStyle w:val="14"/>
        <w:rPr>
          <w:rFonts w:hint="eastAsia" w:ascii="黑体" w:hAnsi="宋体" w:eastAsia="黑体"/>
          <w:b/>
          <w:bCs/>
          <w:sz w:val="32"/>
          <w:szCs w:val="32"/>
        </w:rPr>
      </w:pPr>
    </w:p>
    <w:p w14:paraId="57149C6F">
      <w:pPr>
        <w:pStyle w:val="14"/>
        <w:rPr>
          <w:rFonts w:hint="eastAsia" w:ascii="黑体" w:hAnsi="宋体" w:eastAsia="黑体"/>
          <w:b/>
          <w:bCs/>
          <w:sz w:val="32"/>
          <w:szCs w:val="32"/>
        </w:rPr>
      </w:pPr>
    </w:p>
    <w:p w14:paraId="0C951295">
      <w:pPr>
        <w:pStyle w:val="14"/>
        <w:rPr>
          <w:rFonts w:hint="eastAsia" w:ascii="黑体" w:hAnsi="宋体" w:eastAsia="黑体"/>
          <w:b/>
          <w:bCs/>
          <w:sz w:val="32"/>
          <w:szCs w:val="32"/>
        </w:rPr>
      </w:pPr>
    </w:p>
    <w:p w14:paraId="47832996">
      <w:pPr>
        <w:pStyle w:val="14"/>
        <w:rPr>
          <w:rFonts w:hint="eastAsia" w:ascii="黑体" w:hAnsi="宋体" w:eastAsia="黑体"/>
          <w:b/>
          <w:bCs/>
          <w:sz w:val="32"/>
          <w:szCs w:val="32"/>
        </w:rPr>
      </w:pPr>
    </w:p>
    <w:p w14:paraId="7D19E088">
      <w:pPr>
        <w:pStyle w:val="14"/>
        <w:rPr>
          <w:rFonts w:hint="eastAsia" w:ascii="黑体" w:hAnsi="宋体" w:eastAsia="黑体"/>
          <w:b/>
          <w:bCs/>
          <w:sz w:val="32"/>
          <w:szCs w:val="32"/>
        </w:rPr>
      </w:pPr>
    </w:p>
    <w:p w14:paraId="3E86295D">
      <w:pPr>
        <w:pStyle w:val="14"/>
        <w:rPr>
          <w:rFonts w:hint="eastAsia" w:ascii="黑体" w:hAnsi="宋体" w:eastAsia="黑体"/>
          <w:b/>
          <w:bCs/>
          <w:sz w:val="32"/>
          <w:szCs w:val="32"/>
        </w:rPr>
      </w:pPr>
    </w:p>
    <w:p w14:paraId="4CCAB763">
      <w:pPr>
        <w:pStyle w:val="14"/>
        <w:rPr>
          <w:rFonts w:hint="eastAsia" w:ascii="黑体" w:hAnsi="宋体" w:eastAsia="黑体"/>
          <w:b/>
          <w:bCs/>
          <w:sz w:val="32"/>
          <w:szCs w:val="32"/>
        </w:rPr>
      </w:pPr>
    </w:p>
    <w:p w14:paraId="156F53F9">
      <w:pPr>
        <w:pStyle w:val="14"/>
        <w:rPr>
          <w:rFonts w:hint="eastAsia" w:ascii="黑体" w:hAnsi="宋体" w:eastAsia="黑体"/>
          <w:b/>
          <w:bCs/>
          <w:sz w:val="32"/>
          <w:szCs w:val="32"/>
        </w:rPr>
      </w:pPr>
    </w:p>
    <w:p w14:paraId="5F765AA9">
      <w:pPr>
        <w:pStyle w:val="14"/>
        <w:rPr>
          <w:rFonts w:hint="eastAsia" w:ascii="黑体" w:hAnsi="宋体" w:eastAsia="黑体"/>
          <w:b/>
          <w:bCs/>
          <w:sz w:val="32"/>
          <w:szCs w:val="32"/>
        </w:rPr>
      </w:pPr>
    </w:p>
    <w:p w14:paraId="02A717E2">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lang w:eastAsia="zh-CN"/>
        </w:rPr>
        <w:t>，</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w:t>
      </w:r>
      <w:r>
        <w:rPr>
          <w:rFonts w:hint="eastAsia" w:ascii="宋体" w:hAnsi="宋体"/>
          <w:sz w:val="24"/>
          <w:lang w:eastAsia="zh-CN"/>
        </w:rPr>
        <w:t>表人授权人</w:t>
      </w:r>
      <w:r>
        <w:rPr>
          <w:rFonts w:hint="eastAsia" w:ascii="宋体" w:hAnsi="宋体"/>
          <w:sz w:val="24"/>
        </w:rPr>
        <w:t>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w:t>
      </w:r>
      <w:r>
        <w:rPr>
          <w:rFonts w:hint="eastAsia" w:ascii="宋体" w:hAnsi="宋体"/>
          <w:sz w:val="24"/>
          <w:lang w:eastAsia="zh-CN"/>
        </w:rPr>
        <w:t>司对</w:t>
      </w:r>
      <w:r>
        <w:rPr>
          <w:rFonts w:hint="eastAsia" w:ascii="宋体" w:hAnsi="宋体"/>
          <w:sz w:val="24"/>
        </w:rPr>
        <w:t>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w:t>
      </w:r>
      <w:r>
        <w:rPr>
          <w:rFonts w:hint="eastAsia" w:ascii="宋体" w:hAnsi="宋体"/>
          <w:sz w:val="24"/>
          <w:lang w:eastAsia="zh-CN"/>
        </w:rPr>
        <w:t>，</w:t>
      </w:r>
      <w:r>
        <w:rPr>
          <w:rFonts w:hint="eastAsia" w:ascii="宋体" w:hAnsi="宋体"/>
          <w:sz w:val="24"/>
        </w:rPr>
        <w:t>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 xml:space="preserve">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 xml:space="preserve">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rFonts w:hint="eastAsia"/>
          <w:sz w:val="24"/>
          <w:highlight w:val="white"/>
          <w:lang w:eastAsia="zh-CN"/>
        </w:rPr>
        <w:t>〔2017〕141号</w:t>
      </w:r>
      <w:r>
        <w:rPr>
          <w:rFonts w:hint="eastAsia"/>
          <w:sz w:val="24"/>
          <w:highlight w:val="white"/>
        </w:rPr>
        <w:t>）的规定，本单位为符合条件的残疾人福利性单位，且本单位参加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w:t>
      </w:r>
      <w:r>
        <w:rPr>
          <w:rFonts w:hint="eastAsia" w:ascii="宋体" w:hAnsi="宋体"/>
          <w:bCs/>
          <w:sz w:val="24"/>
          <w:lang w:eastAsia="zh-CN"/>
        </w:rPr>
        <w:t>〔2015〕36号</w:t>
      </w:r>
      <w:r>
        <w:rPr>
          <w:rFonts w:hint="eastAsia" w:ascii="宋体" w:hAnsi="宋体"/>
          <w:bCs/>
          <w:sz w:val="24"/>
        </w:rPr>
        <w:t>）的规定履行职责和义务，不得违法评审、违反评审工作纪律。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w:t>
      </w:r>
      <w:r>
        <w:rPr>
          <w:rFonts w:hint="eastAsia" w:ascii="宋体" w:hAnsi="宋体" w:cs="宋体"/>
          <w:bCs/>
          <w:sz w:val="24"/>
          <w:lang w:eastAsia="zh-CN"/>
        </w:rPr>
        <w:t>小组</w:t>
      </w:r>
      <w:r>
        <w:rPr>
          <w:rFonts w:hint="eastAsia" w:ascii="宋体" w:hAnsi="宋体" w:cs="宋体"/>
          <w:bCs/>
          <w:sz w:val="24"/>
        </w:rPr>
        <w:t>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w:t>
      </w:r>
      <w:r>
        <w:rPr>
          <w:rFonts w:hint="eastAsia" w:ascii="宋体" w:hAnsi="宋体" w:cs="宋体"/>
          <w:sz w:val="24"/>
          <w:szCs w:val="24"/>
          <w:lang w:eastAsia="zh-CN"/>
        </w:rPr>
        <w:t>，</w:t>
      </w:r>
      <w:r>
        <w:rPr>
          <w:rFonts w:ascii="宋体" w:hAnsi="宋体" w:eastAsia="宋体" w:cs="宋体"/>
          <w:sz w:val="24"/>
          <w:szCs w:val="24"/>
        </w:rPr>
        <w:t>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w:t>
      </w:r>
      <w:r>
        <w:rPr>
          <w:rFonts w:hint="eastAsia" w:ascii="宋体" w:hAnsi="宋体"/>
          <w:bCs/>
          <w:sz w:val="24"/>
          <w:lang w:eastAsia="zh-CN"/>
        </w:rPr>
        <w:t>》《</w:t>
      </w:r>
      <w:r>
        <w:rPr>
          <w:rFonts w:hint="eastAsia" w:ascii="宋体" w:hAnsi="宋体"/>
          <w:bCs/>
          <w:sz w:val="24"/>
        </w:rPr>
        <w:t>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w:t>
      </w:r>
      <w:r>
        <w:rPr>
          <w:rFonts w:hint="eastAsia" w:ascii="宋体" w:hAnsi="宋体"/>
          <w:bCs/>
          <w:sz w:val="24"/>
          <w:lang w:eastAsia="zh-CN"/>
        </w:rPr>
        <w:t>《中华人民共和国政府采购法》</w:t>
      </w:r>
      <w:r>
        <w:rPr>
          <w:rFonts w:hint="eastAsia" w:ascii="宋体" w:hAnsi="宋体"/>
          <w:bCs/>
          <w:sz w:val="24"/>
        </w:rPr>
        <w:t>第十二条和《</w:t>
      </w:r>
      <w:r>
        <w:rPr>
          <w:rFonts w:hint="eastAsia" w:ascii="宋体" w:hAnsi="宋体"/>
          <w:bCs/>
          <w:sz w:val="24"/>
          <w:lang w:eastAsia="zh-CN"/>
        </w:rPr>
        <w:t>中华人民共和国政府采购法实施条例</w:t>
      </w:r>
      <w:r>
        <w:rPr>
          <w:rFonts w:hint="eastAsia" w:ascii="宋体" w:hAnsi="宋体"/>
          <w:bCs/>
          <w:sz w:val="24"/>
        </w:rPr>
        <w:t>》第九条及财政部关于回避的规定。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w:t>
      </w:r>
      <w:r>
        <w:rPr>
          <w:rFonts w:hint="eastAsia" w:ascii="宋体" w:hAnsi="宋体"/>
          <w:color w:val="000000"/>
          <w:lang w:eastAsia="zh-CN"/>
        </w:rPr>
        <w:t>》《</w:t>
      </w:r>
      <w:r>
        <w:rPr>
          <w:rFonts w:hint="eastAsia" w:ascii="宋体" w:hAnsi="宋体"/>
          <w:color w:val="000000"/>
        </w:rPr>
        <w:t>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lang w:eastAsia="zh-CN"/>
        </w:rPr>
        <w:t>（</w:t>
      </w:r>
      <w:r>
        <w:rPr>
          <w:rFonts w:hint="eastAsia" w:ascii="宋体" w:hAnsi="宋体"/>
          <w:color w:val="000000"/>
        </w:rPr>
        <w:t>如由于采购人的原因造成合同延迟签订或验收的，时间顺延</w:t>
      </w:r>
      <w:r>
        <w:rPr>
          <w:rFonts w:hint="eastAsia" w:ascii="宋体" w:hAnsi="宋体"/>
          <w:color w:val="000000"/>
          <w:lang w:eastAsia="zh-CN"/>
        </w:rPr>
        <w:t>）</w:t>
      </w:r>
      <w:r>
        <w:rPr>
          <w:rFonts w:hint="eastAsia" w:ascii="宋体" w:hAnsi="宋体"/>
          <w:color w:val="000000"/>
        </w:rPr>
        <w:t>。交货验收时</w:t>
      </w:r>
      <w:r>
        <w:rPr>
          <w:rFonts w:hint="eastAsia" w:ascii="宋体" w:hAnsi="宋体"/>
          <w:color w:val="000000"/>
          <w:lang w:eastAsia="zh-CN"/>
        </w:rPr>
        <w:t>需</w:t>
      </w:r>
      <w:r>
        <w:rPr>
          <w:rFonts w:hint="eastAsia" w:ascii="宋体" w:hAnsi="宋体"/>
          <w:color w:val="000000"/>
        </w:rPr>
        <w:t>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hint="eastAsia" w:ascii="宋体" w:hAnsi="宋体"/>
          <w:color w:val="000000"/>
          <w:lang w:eastAsia="zh-CN"/>
        </w:rPr>
        <w:t>（1）</w:t>
      </w:r>
      <w:r>
        <w:rPr>
          <w:rFonts w:ascii="宋体" w:hAnsi="宋体"/>
          <w:color w:val="000000"/>
        </w:rPr>
        <w:t xml:space="preserve">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hint="eastAsia" w:ascii="宋体" w:hAnsi="宋体"/>
          <w:color w:val="000000"/>
          <w:lang w:eastAsia="zh-CN"/>
        </w:rPr>
        <w:t>（2）</w:t>
      </w:r>
      <w:r>
        <w:rPr>
          <w:rFonts w:ascii="宋体" w:hAnsi="宋体"/>
          <w:color w:val="000000"/>
        </w:rPr>
        <w:t xml:space="preserve">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hint="eastAsia" w:ascii="宋体" w:hAnsi="宋体"/>
          <w:color w:val="000000"/>
          <w:lang w:eastAsia="zh-CN"/>
        </w:rPr>
        <w:t>（3）</w:t>
      </w:r>
      <w:r>
        <w:rPr>
          <w:rFonts w:ascii="宋体" w:hAnsi="宋体"/>
          <w:color w:val="000000"/>
        </w:rPr>
        <w:t xml:space="preserve">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lang w:eastAsia="zh-CN"/>
        </w:rPr>
        <w:t>（4）</w:t>
      </w:r>
      <w:r>
        <w:rPr>
          <w:rFonts w:hint="eastAsia" w:ascii="宋体" w:hAnsi="宋体"/>
          <w:color w:val="000000"/>
        </w:rPr>
        <w:t>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w:t>
      </w:r>
      <w:r>
        <w:rPr>
          <w:rFonts w:hint="eastAsia" w:ascii="宋体" w:hAnsi="宋体"/>
          <w:color w:val="000000"/>
          <w:lang w:eastAsia="zh-CN"/>
        </w:rPr>
        <w:t>经支</w:t>
      </w:r>
      <w:r>
        <w:rPr>
          <w:rFonts w:hint="eastAsia" w:ascii="宋体" w:hAnsi="宋体"/>
          <w:color w:val="000000"/>
        </w:rPr>
        <w:t>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hint="eastAsia" w:ascii="宋体" w:hAnsi="宋体"/>
          <w:color w:val="000000"/>
          <w:lang w:eastAsia="zh-CN"/>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F7A022C"/>
    <w:rsid w:val="1FBF6B0B"/>
    <w:rsid w:val="1FE43AF7"/>
    <w:rsid w:val="204A081C"/>
    <w:rsid w:val="205058A7"/>
    <w:rsid w:val="20714280"/>
    <w:rsid w:val="207460AE"/>
    <w:rsid w:val="21427125"/>
    <w:rsid w:val="21CC3154"/>
    <w:rsid w:val="22947F00"/>
    <w:rsid w:val="22991665"/>
    <w:rsid w:val="23902475"/>
    <w:rsid w:val="239E61C1"/>
    <w:rsid w:val="248F084E"/>
    <w:rsid w:val="259801CB"/>
    <w:rsid w:val="268F0FD1"/>
    <w:rsid w:val="275A7263"/>
    <w:rsid w:val="27644041"/>
    <w:rsid w:val="27A1209F"/>
    <w:rsid w:val="28FC4860"/>
    <w:rsid w:val="28FC7A35"/>
    <w:rsid w:val="2A1047F1"/>
    <w:rsid w:val="2A745C14"/>
    <w:rsid w:val="2AAA30F8"/>
    <w:rsid w:val="2AE95BE6"/>
    <w:rsid w:val="2AE9675F"/>
    <w:rsid w:val="2AEB2240"/>
    <w:rsid w:val="2B4F4C91"/>
    <w:rsid w:val="2B7E6357"/>
    <w:rsid w:val="2BAB1AA3"/>
    <w:rsid w:val="2C0F10F4"/>
    <w:rsid w:val="2C153338"/>
    <w:rsid w:val="2C5E33A5"/>
    <w:rsid w:val="2C974493"/>
    <w:rsid w:val="2D543928"/>
    <w:rsid w:val="2D5B63DD"/>
    <w:rsid w:val="2D862680"/>
    <w:rsid w:val="2DBA37B3"/>
    <w:rsid w:val="2DDA0375"/>
    <w:rsid w:val="2E8C6168"/>
    <w:rsid w:val="2F0E0B67"/>
    <w:rsid w:val="2F116900"/>
    <w:rsid w:val="2F12301B"/>
    <w:rsid w:val="2F2A085D"/>
    <w:rsid w:val="2FD6310C"/>
    <w:rsid w:val="30475B03"/>
    <w:rsid w:val="3054333F"/>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7C4A87"/>
    <w:rsid w:val="3AAA3917"/>
    <w:rsid w:val="3ADD3456"/>
    <w:rsid w:val="3B4B5EE5"/>
    <w:rsid w:val="3B971312"/>
    <w:rsid w:val="3BA20ED0"/>
    <w:rsid w:val="3C64337B"/>
    <w:rsid w:val="3D255EAC"/>
    <w:rsid w:val="3DA22932"/>
    <w:rsid w:val="3E1E4076"/>
    <w:rsid w:val="3EAC4E99"/>
    <w:rsid w:val="3F076215"/>
    <w:rsid w:val="3F806480"/>
    <w:rsid w:val="427A2742"/>
    <w:rsid w:val="42EA597B"/>
    <w:rsid w:val="435B5C38"/>
    <w:rsid w:val="436F11FE"/>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D11F3C"/>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3795B2E"/>
    <w:rsid w:val="540A6EF0"/>
    <w:rsid w:val="54E61D80"/>
    <w:rsid w:val="552B0390"/>
    <w:rsid w:val="560A5808"/>
    <w:rsid w:val="56163B54"/>
    <w:rsid w:val="562A7CF5"/>
    <w:rsid w:val="56356D29"/>
    <w:rsid w:val="56383356"/>
    <w:rsid w:val="56537BBB"/>
    <w:rsid w:val="566871C5"/>
    <w:rsid w:val="566D68DF"/>
    <w:rsid w:val="5691060A"/>
    <w:rsid w:val="56B1772C"/>
    <w:rsid w:val="56F47B21"/>
    <w:rsid w:val="572063DD"/>
    <w:rsid w:val="573C5230"/>
    <w:rsid w:val="576C3F51"/>
    <w:rsid w:val="57B81CF9"/>
    <w:rsid w:val="58375B00"/>
    <w:rsid w:val="584B5BE4"/>
    <w:rsid w:val="58905DEE"/>
    <w:rsid w:val="5901420E"/>
    <w:rsid w:val="59C232FC"/>
    <w:rsid w:val="59D3326C"/>
    <w:rsid w:val="5AA4447D"/>
    <w:rsid w:val="5AC63350"/>
    <w:rsid w:val="5ADB6F33"/>
    <w:rsid w:val="5BC27203"/>
    <w:rsid w:val="5C2C4CF4"/>
    <w:rsid w:val="5C4E7ACC"/>
    <w:rsid w:val="5C57765F"/>
    <w:rsid w:val="5CAC7D5B"/>
    <w:rsid w:val="5CDC79F3"/>
    <w:rsid w:val="5D7E2CB1"/>
    <w:rsid w:val="5E7746B1"/>
    <w:rsid w:val="5F3F5BA7"/>
    <w:rsid w:val="5F9C5684"/>
    <w:rsid w:val="5FAB2C98"/>
    <w:rsid w:val="5FE96808"/>
    <w:rsid w:val="5FF6089C"/>
    <w:rsid w:val="6005277B"/>
    <w:rsid w:val="603D5D93"/>
    <w:rsid w:val="622D6AC7"/>
    <w:rsid w:val="62835C1F"/>
    <w:rsid w:val="62AA68DE"/>
    <w:rsid w:val="632736DB"/>
    <w:rsid w:val="635A475F"/>
    <w:rsid w:val="64044C31"/>
    <w:rsid w:val="64CF61A6"/>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1F8347C"/>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99460d51-ed82-4dcf-bd69-4198ecc67c95</errorID>
      <errorWord>（</errorWord>
      <group>L1_Punc</group>
      <groupName>标点问题</groupName>
      <ability>L2_Punc_CN</ability>
      <abilityName>标点符号问题</abilityName>
      <candidateList/>
      <explain>同一形式括号套用。</explain>
      <paraID>5DD39FD5</paraID>
      <start>45</start>
      <end>46</end>
      <status>ignored</status>
      <modifiedWord/>
      <trackRevisions>false</trackRevisions>
    </reviewItem>
    <reviewItem>
      <errorID>f6fede3e-564e-431b-9477-2731337fd5de</errorID>
      <errorWord>）</errorWord>
      <group>L1_Punc</group>
      <groupName>标点问题</groupName>
      <ability>L2_Punc_CN</ability>
      <abilityName>标点符号问题</abilityName>
      <candidateList/>
      <explain>同一形式括号套用。</explain>
      <paraID>5DD39FD5</paraID>
      <start>48</start>
      <end>49</end>
      <status>ignored</status>
      <modifiedWord/>
      <trackRevisions>false</trackRevisions>
    </reviewItem>
    <reviewItem>
      <errorID>81d6bd8b-dd24-4478-ae29-142e2e5e6887</errorID>
      <errorWord>合同法</errorWord>
      <group>L1_Knowledge</group>
      <groupName>知识性问题</groupName>
      <ability>L2_Knowledge</ability>
      <abilityName>其他知识</abilityName>
      <candidateList/>
      <explain>已废止</explain>
      <paraID>172346AF</paraID>
      <start>30</start>
      <end>33</end>
      <status>ignored</status>
      <modifiedWord/>
      <trackRevisions>false</trackRevisions>
    </reviewItem>
    <reviewItem>
      <errorID>40352156-308e-45de-b2c5-a729f1055754</errorID>
      <errorWord>(</errorWord>
      <group>L1_Format</group>
      <groupName>格式问题</groupName>
      <ability>L2_HalfPunc_CN</ability>
      <abilityName>全半角问题</abilityName>
      <candidateList>
        <item>（</item>
      </candidateList>
      <explain>文本全半角错误。</explain>
      <paraID>7CDAB70A</paraID>
      <start>37</start>
      <end>38</end>
      <status>modified</status>
      <modifiedWord>（</modifiedWord>
      <trackRevisions>false</trackRevisions>
    </reviewItem>
    <reviewItem>
      <errorID>28d217ca-eb17-497e-b637-49e6d4e8d632</errorID>
      <errorWord>1中</errorWord>
      <group>L1_Word</group>
      <groupName>字词问题</groupName>
      <ability>L2_Typo</ability>
      <abilityName>字词错误</abilityName>
      <candidateList>
        <item>1</item>
      </candidateList>
      <explain/>
      <paraID>28190B96</paraID>
      <start>29</start>
      <end>30</end>
      <status>modified</status>
      <modifiedWord>1</modifiedWord>
      <trackRevisions>false</trackRevisions>
    </reviewItem>
  </reviewItems>
  <config/>
</contractReview>
</file>

<file path=customXml/itemProps1.xml><?xml version="1.0" encoding="utf-8"?>
<ds:datastoreItem xmlns:ds="http://schemas.openxmlformats.org/officeDocument/2006/customXml" ds:itemID="{34fe486a-16b7-44e4-bc80-2e7a75eba106}">
  <ds:schemaRefs/>
</ds:datastoreItem>
</file>

<file path=docProps/app.xml><?xml version="1.0" encoding="utf-8"?>
<Properties xmlns="http://schemas.openxmlformats.org/officeDocument/2006/extended-properties" xmlns:vt="http://schemas.openxmlformats.org/officeDocument/2006/docPropsVTypes">
  <Template>Normal.dotm</Template>
  <Pages>42</Pages>
  <Words>9753</Words>
  <Characters>10274</Characters>
  <Lines>0</Lines>
  <Paragraphs>0</Paragraphs>
  <TotalTime>317</TotalTime>
  <ScaleCrop>false</ScaleCrop>
  <LinksUpToDate>false</LinksUpToDate>
  <CharactersWithSpaces>10380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2026-07-10T00:41:00Z</cp:lastPrinted>
  <dcterms:modified xsi:type="dcterms:W3CDTF">2026-07-10T03:34:37Z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C3ABFF94CF8942E98569D8A16F577067_13</vt:lpwstr>
  </property>
  <property fmtid="{D5CDD505-2E9C-101B-9397-08002B2CF9AE}" pid="4" name="KSOTemplateDocerSaveRecord">
    <vt:lpwstr>eyJoZGlkIjoiM2VmM2FjNzRjOWM3N2FmZjhjMzc2MzE1M2U2MTdhNGEiLCJ1c2VySWQiOiIxNzc1NDk1MTY0In0=</vt:lpwstr>
  </property>
</Properties>
</file>