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邻水县人民医院医用PDA（</w:t>
      </w:r>
      <w:r>
        <w:rPr>
          <w:rFonts w:hint="eastAsia"/>
          <w:b/>
          <w:sz w:val="28"/>
          <w:lang w:val="en-US" w:eastAsia="zh-CN"/>
        </w:rPr>
        <w:t>二次</w:t>
      </w:r>
      <w:r>
        <w:rPr>
          <w:rFonts w:hint="eastAsia"/>
          <w:b/>
          <w:sz w:val="28"/>
          <w:lang w:eastAsia="zh-CN"/>
        </w:rPr>
        <w:t>）</w:t>
      </w:r>
    </w:p>
    <w:p w14:paraId="14DDC134">
      <w:pPr>
        <w:pStyle w:val="29"/>
        <w:jc w:val="center"/>
        <w:outlineLvl w:val="2"/>
      </w:pPr>
      <w:r>
        <w:rPr>
          <w:b/>
          <w:sz w:val="28"/>
        </w:rPr>
        <w:t>采购项目编号：</w:t>
      </w:r>
      <w:r>
        <w:rPr>
          <w:rFonts w:hint="eastAsia" w:ascii="宋体"/>
          <w:b/>
          <w:sz w:val="30"/>
          <w:szCs w:val="30"/>
          <w:lang w:eastAsia="zh-CN"/>
        </w:rPr>
        <w:t>LYC-202</w:t>
      </w:r>
      <w:r>
        <w:rPr>
          <w:rFonts w:hint="eastAsia" w:ascii="宋体"/>
          <w:b/>
          <w:sz w:val="30"/>
          <w:szCs w:val="30"/>
          <w:lang w:val="en-US" w:eastAsia="zh-CN"/>
        </w:rPr>
        <w:t>6</w:t>
      </w:r>
      <w:r>
        <w:rPr>
          <w:rFonts w:hint="eastAsia" w:ascii="宋体"/>
          <w:b/>
          <w:sz w:val="30"/>
          <w:szCs w:val="30"/>
          <w:lang w:eastAsia="zh-CN"/>
        </w:rPr>
        <w:t>-</w:t>
      </w:r>
      <w:r>
        <w:rPr>
          <w:rFonts w:hint="eastAsia" w:ascii="宋体"/>
          <w:b/>
          <w:sz w:val="30"/>
          <w:szCs w:val="30"/>
          <w:lang w:val="en-US" w:eastAsia="zh-CN"/>
        </w:rPr>
        <w:t>031</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6</w:t>
      </w:r>
      <w:r>
        <w:rPr>
          <w:b/>
          <w:sz w:val="28"/>
        </w:rPr>
        <w:t>年</w:t>
      </w:r>
      <w:r>
        <w:rPr>
          <w:rFonts w:hint="eastAsia"/>
          <w:b/>
          <w:sz w:val="28"/>
          <w:lang w:val="en-US" w:eastAsia="zh-CN"/>
        </w:rPr>
        <w:t>5</w:t>
      </w:r>
      <w:r>
        <w:rPr>
          <w:b/>
          <w:sz w:val="28"/>
        </w:rPr>
        <w:t>月</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LYC-2026-031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邻水县人民医院医用PDA</w:t>
      </w:r>
      <w:r>
        <w:rPr>
          <w:rFonts w:hint="eastAsia" w:ascii="宋体" w:hAnsi="宋体" w:cs="宋体"/>
          <w:color w:val="000000"/>
          <w:kern w:val="0"/>
          <w:sz w:val="24"/>
          <w:szCs w:val="24"/>
          <w:lang w:val="en-US" w:eastAsia="zh-CN" w:bidi="ar"/>
        </w:rPr>
        <w:t>（二次）</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28</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28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6</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6</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3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6</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6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3</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、林老师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、15284952268 </w:t>
      </w:r>
    </w:p>
    <w:p w14:paraId="29538C5F">
      <w:pPr>
        <w:pStyle w:val="21"/>
        <w:spacing w:line="440" w:lineRule="exact"/>
        <w:ind w:firstLine="1200" w:firstLineChars="500"/>
        <w:rPr>
          <w:rFonts w:hint="default"/>
          <w:sz w:val="24"/>
          <w:lang w:val="en-US" w:eastAsia="zh-CN"/>
        </w:rPr>
      </w:pPr>
    </w:p>
    <w:p w14:paraId="016FA503">
      <w:pPr>
        <w:pStyle w:val="13"/>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2800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2800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4"/>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24295"/>
      <w:bookmarkStart w:id="7" w:name="_Toc17067"/>
      <w:bookmarkStart w:id="8" w:name="_Toc13038"/>
      <w:bookmarkStart w:id="9" w:name="_Toc31240"/>
      <w:bookmarkStart w:id="10" w:name="_Toc1521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w:t>
      </w:r>
      <w:r>
        <w:rPr>
          <w:rFonts w:hint="eastAsia" w:ascii="宋体" w:hAnsi="宋体"/>
          <w:sz w:val="24"/>
          <w:lang w:val="en-US" w:eastAsia="zh-CN"/>
        </w:rPr>
        <w:t>5</w:t>
      </w:r>
      <w:r>
        <w:rPr>
          <w:rFonts w:hint="eastAsia" w:ascii="宋体" w:hAnsi="宋体"/>
          <w:sz w:val="24"/>
        </w:rPr>
        <w:t>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w:t>
      </w:r>
      <w:r>
        <w:rPr>
          <w:rFonts w:hint="eastAsia" w:hAnsi="宋体"/>
          <w:sz w:val="24"/>
          <w:lang w:val="en-US" w:eastAsia="zh-CN"/>
        </w:rPr>
        <w:t>6</w:t>
      </w:r>
      <w:r>
        <w:rPr>
          <w:rFonts w:hint="eastAsia" w:hAnsi="宋体"/>
          <w:sz w:val="24"/>
        </w:rPr>
        <w:t>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7"/>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7"/>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174151"/>
      <w:bookmarkStart w:id="12" w:name="_Toc209847069"/>
      <w:bookmarkStart w:id="13" w:name="_Toc101338364"/>
      <w:bookmarkStart w:id="14" w:name="_Toc430773927"/>
      <w:bookmarkStart w:id="15" w:name="_Toc101250646"/>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4"/>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default"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b w:val="0"/>
          <w:bCs w:val="0"/>
          <w:sz w:val="24"/>
          <w:lang w:val="en-US" w:eastAsia="zh-CN"/>
        </w:rPr>
        <w:t>无。</w:t>
      </w:r>
    </w:p>
    <w:p w14:paraId="41FC2A9C">
      <w:pPr>
        <w:pStyle w:val="6"/>
        <w:spacing w:line="500" w:lineRule="exact"/>
        <w:ind w:firstLine="480" w:firstLineChars="200"/>
        <w:rPr>
          <w:rFonts w:hint="eastAsia" w:ascii="宋体" w:hAnsi="宋体" w:cs="宋体"/>
          <w:sz w:val="24"/>
          <w:szCs w:val="24"/>
        </w:rPr>
      </w:pPr>
    </w:p>
    <w:p w14:paraId="3F3D25DD">
      <w:pPr>
        <w:pStyle w:val="14"/>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582231"/>
      <w:bookmarkStart w:id="17" w:name="_Toc183682368"/>
      <w:bookmarkStart w:id="18" w:name="_Toc77400782"/>
      <w:bookmarkStart w:id="19" w:name="_Toc217446056"/>
      <w:bookmarkStart w:id="20" w:name="_Toc8907587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582232"/>
      <w:bookmarkStart w:id="24" w:name="_Toc217446057"/>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bookmarkEnd w:id="26"/>
    <w:bookmarkEnd w:id="27"/>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bookmarkStart w:id="28" w:name="_Toc3397"/>
      <w:bookmarkStart w:id="29" w:name="_Toc27680"/>
      <w:r>
        <w:rPr>
          <w:rFonts w:hint="eastAsia" w:ascii="宋体" w:hAnsi="宋体" w:eastAsia="宋体" w:cs="宋体"/>
          <w:kern w:val="2"/>
          <w:sz w:val="24"/>
          <w:szCs w:val="24"/>
          <w:lang w:val="en-US" w:eastAsia="zh-CN" w:bidi="ar-SA"/>
        </w:rPr>
        <w:t>现有设备配置不能满足现有系统以及日后增加的系统使用</w:t>
      </w:r>
      <w:r>
        <w:rPr>
          <w:sz w:val="24"/>
          <w:szCs w:val="32"/>
        </w:rPr>
        <w:t>，兹邀请供应商参加询价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20" w:firstLineChars="200"/>
        <w:rPr>
          <w:rFonts w:hint="eastAsia" w:ascii="宋体" w:hAnsi="宋体" w:cs="宋体"/>
          <w:b/>
          <w:bCs/>
          <w:color w:val="000000"/>
          <w:sz w:val="28"/>
          <w:szCs w:val="28"/>
          <w:lang w:val="en-US" w:eastAsia="zh-CN"/>
        </w:rPr>
      </w:pPr>
      <w:r>
        <w:rPr>
          <w:rFonts w:ascii="仿宋_GB2312" w:hAnsi="仿宋_GB2312" w:eastAsia="仿宋_GB2312" w:cs="仿宋_GB2312"/>
        </w:rPr>
        <w:t>★</w:t>
      </w:r>
      <w:r>
        <w:rPr>
          <w:rFonts w:hint="eastAsia" w:ascii="宋体" w:hAnsi="宋体" w:cs="宋体"/>
          <w:b/>
          <w:bCs/>
          <w:color w:val="000000"/>
          <w:sz w:val="28"/>
          <w:szCs w:val="28"/>
          <w:lang w:val="en-US" w:eastAsia="zh-CN"/>
        </w:rPr>
        <w:t>二、项目清单</w:t>
      </w:r>
    </w:p>
    <w:tbl>
      <w:tblPr>
        <w:tblStyle w:val="15"/>
        <w:tblW w:w="934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8"/>
        <w:gridCol w:w="1961"/>
        <w:gridCol w:w="972"/>
        <w:gridCol w:w="996"/>
        <w:gridCol w:w="1980"/>
        <w:gridCol w:w="1584"/>
        <w:gridCol w:w="1084"/>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28" w:hRule="atLeast"/>
          <w:jc w:val="center"/>
        </w:trPr>
        <w:tc>
          <w:tcPr>
            <w:tcW w:w="768"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1961"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972"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996"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980" w:type="dxa"/>
            <w:vAlign w:val="center"/>
          </w:tcPr>
          <w:p w14:paraId="3EDA4DE5">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最高限制单价</w:t>
            </w:r>
          </w:p>
          <w:p w14:paraId="4B9A04BB">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584" w:type="dxa"/>
            <w:vAlign w:val="center"/>
          </w:tcPr>
          <w:p w14:paraId="0C99EFF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金额</w:t>
            </w:r>
          </w:p>
          <w:p w14:paraId="7CC7D9AD">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（元）</w:t>
            </w:r>
          </w:p>
        </w:tc>
        <w:tc>
          <w:tcPr>
            <w:tcW w:w="1084"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768"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1961" w:type="dxa"/>
            <w:vAlign w:val="center"/>
          </w:tcPr>
          <w:p w14:paraId="2DA204F4">
            <w:pPr>
              <w:adjustRightInd w:val="0"/>
              <w:snapToGrid w:val="0"/>
              <w:spacing w:line="400" w:lineRule="exact"/>
              <w:jc w:val="center"/>
              <w:rPr>
                <w:rFonts w:hint="default"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医用PDA</w:t>
            </w:r>
          </w:p>
        </w:tc>
        <w:tc>
          <w:tcPr>
            <w:tcW w:w="972"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996"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80</w:t>
            </w:r>
          </w:p>
        </w:tc>
        <w:tc>
          <w:tcPr>
            <w:tcW w:w="1980" w:type="dxa"/>
            <w:tcBorders>
              <w:top w:val="single" w:color="auto" w:sz="4" w:space="0"/>
              <w:bottom w:val="single" w:color="auto" w:sz="4" w:space="0"/>
            </w:tcBorders>
            <w:vAlign w:val="center"/>
          </w:tcPr>
          <w:p w14:paraId="25281FB4">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35000</w:t>
            </w:r>
          </w:p>
        </w:tc>
        <w:tc>
          <w:tcPr>
            <w:tcW w:w="1584" w:type="dxa"/>
            <w:tcBorders>
              <w:top w:val="single" w:color="auto" w:sz="4" w:space="0"/>
              <w:bottom w:val="single" w:color="auto" w:sz="4" w:space="0"/>
            </w:tcBorders>
            <w:vAlign w:val="center"/>
          </w:tcPr>
          <w:p w14:paraId="10F583C8">
            <w:pPr>
              <w:adjustRightInd w:val="0"/>
              <w:snapToGrid w:val="0"/>
              <w:spacing w:line="400" w:lineRule="exact"/>
              <w:jc w:val="center"/>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280000</w:t>
            </w:r>
          </w:p>
        </w:tc>
        <w:tc>
          <w:tcPr>
            <w:tcW w:w="1084" w:type="dxa"/>
            <w:tcBorders>
              <w:top w:val="single" w:color="auto" w:sz="4" w:space="0"/>
              <w:bottom w:val="single" w:color="auto" w:sz="4" w:space="0"/>
            </w:tcBorders>
            <w:vAlign w:val="center"/>
          </w:tcPr>
          <w:p w14:paraId="30E1278D">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23CF079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color w:val="auto"/>
          <w:sz w:val="24"/>
        </w:rPr>
      </w:pPr>
      <w:r>
        <w:rPr>
          <w:rFonts w:hint="eastAsia" w:ascii="宋体" w:hAnsi="宋体" w:eastAsia="宋体" w:cs="宋体"/>
          <w:b/>
          <w:bCs/>
          <w:color w:val="auto"/>
          <w:kern w:val="2"/>
          <w:sz w:val="24"/>
          <w:szCs w:val="24"/>
          <w:lang w:val="en-US" w:eastAsia="zh-CN" w:bidi="ar-SA"/>
        </w:rPr>
        <w:t>（一）技术要求</w:t>
      </w:r>
    </w:p>
    <w:p w14:paraId="05C9A314">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1.操作系统≥Android 1</w:t>
      </w:r>
      <w:r>
        <w:rPr>
          <w:rFonts w:hint="eastAsia"/>
          <w:color w:val="auto"/>
          <w:sz w:val="24"/>
          <w:lang w:val="en-US" w:eastAsia="zh-CN"/>
        </w:rPr>
        <w:t>3</w:t>
      </w:r>
      <w:bookmarkStart w:id="34" w:name="_GoBack"/>
      <w:bookmarkEnd w:id="34"/>
      <w:r>
        <w:rPr>
          <w:rFonts w:hint="eastAsia" w:ascii="宋体" w:hAnsi="宋体"/>
          <w:color w:val="auto"/>
          <w:sz w:val="24"/>
        </w:rPr>
        <w:t>，RAM：≥4GB；ROM：≥128GB ，显示屏幕尺寸≥6.0英寸，电容式触摸，支持戴手套/带水触摸；分辨率≥2160×1080，电源≥5000mAh锂离子充电电池；</w:t>
      </w:r>
    </w:p>
    <w:p w14:paraId="3137CC82">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2.处理器≥八核，CPU主频≥2.6GHz，产品外壳使用医疗专用材料，可耐受酒精、次氯酸钠、聚维酮碘溶液、过氧化氢、异丙醇、迈瑞斯等表面消毒剂擦拭，外壳采用抗菌材质，可耐受大肠杆菌和金黄色葡萄球菌；</w:t>
      </w:r>
    </w:p>
    <w:p w14:paraId="7D330555">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3.数据通信接口，标准的TYPE-C USB接口，支持OTG，支持正反随便插拔，为防止药水浸入USB接口，USB接口需标配胶塞，机身背面简洁设计，无螺丝孔位。</w:t>
      </w:r>
    </w:p>
    <w:p w14:paraId="433A94F5">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4.防水防尘工业等级：≥IP68</w:t>
      </w:r>
    </w:p>
    <w:p w14:paraId="20F175BA">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5.可承受1.8m高处到地面的多次跌落，室温下6个面、4个角每处不少于2次跌落，且供货pda配备屏幕钢化膜与适配保护套；</w:t>
      </w:r>
    </w:p>
    <w:p w14:paraId="72A56284">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 xml:space="preserve">6.支持一维、二维条码识别 </w:t>
      </w:r>
    </w:p>
    <w:p w14:paraId="0F524F03">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7.扫描引擎：专业条码解码引擎，支持一维条码和二维条码读取，扫描引擎要求由PDA厂家原厂生产，所投产品通过激光产品的安全检测。（提供第三方检测机构出具 的带有CNAS或CMA标识的检测报告影印件，要求投标型号与检测报告中“型号”一致）；</w:t>
      </w:r>
    </w:p>
    <w:p w14:paraId="623B8952">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8.扫描按键：同时支持左右两侧实体扫描按键，扫描按键可设置支持唤醒亮屏功能（提供唤醒亮屏功能截图证明）；</w:t>
      </w:r>
    </w:p>
    <w:p w14:paraId="0C50FD91">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9.内置高清摄像头，前置≥800万像素，后置≥1600万像素；</w:t>
      </w:r>
    </w:p>
    <w:p w14:paraId="00C19D3B">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10.WIFI：支持IEEE 802.11 a/b/g/n/ac，移动网络：5G全网通，支持双卡双待；</w:t>
      </w:r>
    </w:p>
    <w:p w14:paraId="538251BD">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11.时间同步：内网自动进行时间同步</w:t>
      </w:r>
    </w:p>
    <w:p w14:paraId="4F5611BB">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12.通知方式：声音、振动器、LED灯指示</w:t>
      </w:r>
    </w:p>
    <w:p w14:paraId="1CD15290">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13.定位系统：北斗</w:t>
      </w:r>
    </w:p>
    <w:p w14:paraId="4FBF2570">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14.网络安全管理：具有添加网络白（黑）名单功能，屏蔽非法网络，可绑定医院WLAN指定AP，确保设备只能在院内使用；</w:t>
      </w:r>
    </w:p>
    <w:p w14:paraId="6734F08A">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15.医疗安全规范：设备符合YY9706.102-2021《医用电气设备第1-2部分：基本安全和基本性能的通用要求并列标准：电磁兼容要求和试验》。（提供第三方检测机构出具的带有CNAS或CMA标识的检测报告影印件）；</w:t>
      </w:r>
    </w:p>
    <w:p w14:paraId="4D2A29CF">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宋体" w:hAnsi="宋体"/>
          <w:color w:val="auto"/>
          <w:sz w:val="24"/>
        </w:rPr>
      </w:pPr>
      <w:r>
        <w:rPr>
          <w:rFonts w:hint="eastAsia" w:ascii="宋体" w:hAnsi="宋体"/>
          <w:color w:val="auto"/>
          <w:sz w:val="24"/>
        </w:rPr>
        <w:t>16.认证：投标产品具备电器电子产品有害物质限制使用认证证书（提供中国质量认证中心出具的电器电子产品有害物质限制使用认证证书影印件），CCC（提供认证证书影印件或中国质量认证中心的查询截图）；</w:t>
      </w:r>
    </w:p>
    <w:p w14:paraId="64635BEF">
      <w:pPr>
        <w:pStyle w:val="4"/>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Times New Roman"/>
          <w:b/>
          <w:bCs/>
          <w:color w:val="auto"/>
          <w:kern w:val="2"/>
          <w:sz w:val="24"/>
          <w:szCs w:val="24"/>
          <w:lang w:val="en-US" w:eastAsia="zh-CN" w:bidi="ar-SA"/>
        </w:rPr>
      </w:pPr>
      <w:r>
        <w:rPr>
          <w:rFonts w:hint="eastAsia" w:ascii="宋体" w:hAnsi="宋体"/>
          <w:color w:val="auto"/>
          <w:sz w:val="24"/>
        </w:rPr>
        <w:t>17.设备系统兼容性：能无缝兼容医院在用四川蓝色港湾科技有限公司的移动护理系统（提供单独的承诺函并加盖投标人公章）；</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251B0F16">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rPr>
        <w:t>①采购标的需满足产品三包服务、所有产品须提供≥3年软硬件质保期，自验收合格之日起计算（要求提供原厂3年质保承诺函），质保期内提供7×24小时的技术支持服务及故障报修服务，配置专门固定的售后服务电话。成交供应商接到采购人系统故障报修应在10分钟内响应，如4小时内无法电话解决问题，维修人员必须在24小时之内到达现场（含节假日），紧急情况须在接到采购人报修后4小时内到达现场维修处理，故障排除在1个工作日内。质保期内，成交供货商须提供2台备用设备。</w:t>
      </w:r>
    </w:p>
    <w:p w14:paraId="59B52DF9">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eastAsia"/>
        </w:rPr>
      </w:pPr>
      <w:r>
        <w:rPr>
          <w:rFonts w:hint="eastAsia"/>
        </w:rPr>
        <w:t>②在质保期内，成交供应商对所投产品免费提供每年不少于4次(每季度巡检一次)的巡检和维护保养，巡检时须对所有设备状态进行检查，确保健康度100%；并将所有需要特征库升级的设备升级到官方最新版本。当采购人有要求时，成交供应商应当提供现场技术保障服务（提供承诺函，格式自拟）。</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420" w:firstLineChars="175"/>
        <w:textAlignment w:val="auto"/>
        <w:rPr>
          <w:rFonts w:hint="default" w:ascii="宋体" w:hAnsi="宋体" w:eastAsia="宋体" w:cs="Times New Roman"/>
          <w:color w:val="000000"/>
          <w:kern w:val="2"/>
          <w:sz w:val="24"/>
          <w:szCs w:val="24"/>
          <w:lang w:val="en-US" w:eastAsia="zh-CN" w:bidi="ar-SA"/>
        </w:rPr>
      </w:pPr>
      <w:r>
        <w:rPr>
          <w:rFonts w:hint="eastAsia"/>
        </w:rPr>
        <w:t>③为保障服务质量，本项目所有产品在签订合同时，需提供原厂售后服务承诺函（提供承诺函，格式自拟）。</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时间：合同签订后</w:t>
      </w:r>
      <w:r>
        <w:rPr>
          <w:rFonts w:hint="eastAsia" w:cs="宋体"/>
          <w:color w:val="auto"/>
          <w:sz w:val="24"/>
          <w:szCs w:val="24"/>
          <w:lang w:val="en-US" w:eastAsia="zh-CN"/>
        </w:rPr>
        <w:t>30</w:t>
      </w:r>
      <w:r>
        <w:rPr>
          <w:rFonts w:hint="eastAsia" w:ascii="宋体" w:hAnsi="宋体" w:eastAsia="宋体" w:cs="宋体"/>
          <w:color w:val="auto"/>
          <w:sz w:val="24"/>
          <w:szCs w:val="24"/>
          <w:lang w:val="en-US" w:eastAsia="zh-CN"/>
        </w:rPr>
        <w:t>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合同签订生效后,项目完成且验收合格后，达到付款条件起30日内，支付合同总金额的70%；项目验收合格1年后，达到付款条件起30日内</w:t>
      </w:r>
      <w:r>
        <w:rPr>
          <w:rFonts w:hint="eastAsia" w:cs="宋体"/>
          <w:color w:val="auto"/>
          <w:sz w:val="24"/>
          <w:szCs w:val="24"/>
          <w:lang w:val="en-US" w:eastAsia="zh-CN"/>
        </w:rPr>
        <w:t>，</w:t>
      </w:r>
      <w:r>
        <w:rPr>
          <w:rFonts w:hint="eastAsia" w:ascii="宋体" w:hAnsi="宋体" w:eastAsia="宋体" w:cs="宋体"/>
          <w:color w:val="auto"/>
          <w:sz w:val="24"/>
          <w:szCs w:val="24"/>
          <w:lang w:val="en-US" w:eastAsia="zh-CN"/>
        </w:rPr>
        <w:t>支付合同总金额的10%；项目验收合格2年后，达到付款条件起30日内</w:t>
      </w:r>
      <w:r>
        <w:rPr>
          <w:rFonts w:hint="eastAsia" w:cs="宋体"/>
          <w:color w:val="auto"/>
          <w:sz w:val="24"/>
          <w:szCs w:val="24"/>
          <w:lang w:val="en-US" w:eastAsia="zh-CN"/>
        </w:rPr>
        <w:t>，</w:t>
      </w:r>
      <w:r>
        <w:rPr>
          <w:rFonts w:hint="eastAsia" w:ascii="宋体" w:hAnsi="宋体" w:eastAsia="宋体" w:cs="宋体"/>
          <w:color w:val="auto"/>
          <w:sz w:val="24"/>
          <w:szCs w:val="24"/>
          <w:lang w:val="en-US" w:eastAsia="zh-CN"/>
        </w:rPr>
        <w:t>支付合同总金额的10%；</w:t>
      </w:r>
      <w:r>
        <w:rPr>
          <w:rFonts w:hint="eastAsia" w:cs="宋体"/>
          <w:color w:val="auto"/>
          <w:sz w:val="24"/>
          <w:szCs w:val="24"/>
          <w:lang w:val="en-US" w:eastAsia="zh-CN"/>
        </w:rPr>
        <w:t>质保期满</w:t>
      </w:r>
      <w:r>
        <w:rPr>
          <w:rFonts w:hint="eastAsia" w:ascii="宋体" w:hAnsi="宋体" w:eastAsia="宋体" w:cs="宋体"/>
          <w:color w:val="auto"/>
          <w:sz w:val="24"/>
          <w:szCs w:val="24"/>
          <w:lang w:val="en-US" w:eastAsia="zh-CN"/>
        </w:rPr>
        <w:t>后，达到付款条件起30日内</w:t>
      </w:r>
      <w:r>
        <w:rPr>
          <w:rFonts w:hint="eastAsia" w:cs="宋体"/>
          <w:color w:val="auto"/>
          <w:sz w:val="24"/>
          <w:szCs w:val="24"/>
          <w:lang w:val="en-US" w:eastAsia="zh-CN"/>
        </w:rPr>
        <w:t>，</w:t>
      </w:r>
      <w:r>
        <w:rPr>
          <w:rFonts w:hint="eastAsia" w:ascii="宋体" w:hAnsi="宋体" w:eastAsia="宋体" w:cs="宋体"/>
          <w:color w:val="auto"/>
          <w:sz w:val="24"/>
          <w:szCs w:val="24"/>
          <w:lang w:val="en-US" w:eastAsia="zh-CN"/>
        </w:rPr>
        <w:t>支付合同总金额的10%。</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highlight w:val="none"/>
          <w:lang w:val="en-US" w:eastAsia="zh-CN"/>
        </w:rPr>
        <w:t>.202</w:t>
      </w:r>
      <w:r>
        <w:rPr>
          <w:rFonts w:hint="eastAsia" w:ascii="宋体" w:hAnsi="宋体" w:cs="Times New Roman"/>
          <w:sz w:val="24"/>
          <w:szCs w:val="24"/>
          <w:highlight w:val="none"/>
          <w:lang w:val="en-US" w:eastAsia="zh-CN"/>
        </w:rPr>
        <w:t>6</w:t>
      </w:r>
      <w:r>
        <w:rPr>
          <w:rFonts w:hint="eastAsia" w:ascii="宋体" w:hAnsi="宋体" w:eastAsia="宋体" w:cs="Times New Roman"/>
          <w:sz w:val="24"/>
          <w:szCs w:val="24"/>
          <w:highlight w:val="none"/>
          <w:lang w:val="en-US" w:eastAsia="zh-CN"/>
        </w:rPr>
        <w:t>年</w:t>
      </w:r>
      <w:r>
        <w:rPr>
          <w:rFonts w:hint="eastAsia" w:ascii="宋体" w:hAnsi="宋体" w:eastAsia="宋体" w:cs="Times New Roman"/>
          <w:sz w:val="24"/>
          <w:szCs w:val="24"/>
          <w:lang w:val="en-US" w:eastAsia="zh-CN"/>
        </w:rPr>
        <w:t>（含）以后生产的产品。</w:t>
      </w:r>
    </w:p>
    <w:p w14:paraId="45E475FB">
      <w:pPr>
        <w:pStyle w:val="14"/>
        <w:rPr>
          <w:rFonts w:hint="eastAsia"/>
        </w:rPr>
      </w:pPr>
    </w:p>
    <w:p w14:paraId="78205F60">
      <w:pPr>
        <w:pStyle w:val="14"/>
        <w:rPr>
          <w:rFonts w:hint="eastAsia" w:ascii="黑体" w:hAnsi="宋体" w:eastAsia="黑体"/>
          <w:b/>
          <w:bCs/>
          <w:sz w:val="32"/>
          <w:szCs w:val="32"/>
        </w:rPr>
      </w:pPr>
    </w:p>
    <w:p w14:paraId="0F005E84">
      <w:pPr>
        <w:pStyle w:val="14"/>
        <w:rPr>
          <w:rFonts w:hint="eastAsia" w:ascii="黑体" w:hAnsi="宋体" w:eastAsia="黑体"/>
          <w:b/>
          <w:bCs/>
          <w:sz w:val="32"/>
          <w:szCs w:val="32"/>
        </w:rPr>
      </w:pPr>
    </w:p>
    <w:p w14:paraId="7BB6F5EC">
      <w:pPr>
        <w:pStyle w:val="14"/>
        <w:rPr>
          <w:rFonts w:hint="eastAsia" w:ascii="黑体" w:hAnsi="宋体" w:eastAsia="黑体"/>
          <w:b/>
          <w:bCs/>
          <w:sz w:val="32"/>
          <w:szCs w:val="32"/>
        </w:rPr>
      </w:pPr>
    </w:p>
    <w:p w14:paraId="3C843199">
      <w:pPr>
        <w:pStyle w:val="14"/>
        <w:rPr>
          <w:rFonts w:hint="eastAsia" w:ascii="黑体" w:hAnsi="宋体" w:eastAsia="黑体"/>
          <w:b/>
          <w:bCs/>
          <w:sz w:val="32"/>
          <w:szCs w:val="32"/>
        </w:rPr>
      </w:pPr>
    </w:p>
    <w:p w14:paraId="4F633CF5">
      <w:pPr>
        <w:pStyle w:val="14"/>
        <w:rPr>
          <w:rFonts w:hint="eastAsia" w:ascii="黑体" w:hAnsi="宋体" w:eastAsia="黑体"/>
          <w:b/>
          <w:bCs/>
          <w:sz w:val="32"/>
          <w:szCs w:val="32"/>
        </w:rPr>
      </w:pPr>
    </w:p>
    <w:p w14:paraId="3DF63C09">
      <w:pPr>
        <w:pStyle w:val="14"/>
        <w:rPr>
          <w:rFonts w:hint="eastAsia" w:ascii="黑体" w:hAnsi="宋体" w:eastAsia="黑体"/>
          <w:b/>
          <w:bCs/>
          <w:sz w:val="32"/>
          <w:szCs w:val="32"/>
        </w:rPr>
      </w:pPr>
    </w:p>
    <w:p w14:paraId="2BA42DF9">
      <w:pPr>
        <w:pStyle w:val="14"/>
        <w:rPr>
          <w:rFonts w:hint="eastAsia" w:ascii="黑体" w:hAnsi="宋体" w:eastAsia="黑体"/>
          <w:b/>
          <w:bCs/>
          <w:sz w:val="32"/>
          <w:szCs w:val="32"/>
        </w:rPr>
      </w:pPr>
    </w:p>
    <w:p w14:paraId="0DE5246D">
      <w:pPr>
        <w:pStyle w:val="14"/>
        <w:rPr>
          <w:rFonts w:hint="eastAsia" w:ascii="黑体" w:hAnsi="宋体" w:eastAsia="黑体"/>
          <w:b/>
          <w:bCs/>
          <w:sz w:val="32"/>
          <w:szCs w:val="32"/>
        </w:rPr>
      </w:pPr>
    </w:p>
    <w:p w14:paraId="4C941553">
      <w:pPr>
        <w:pStyle w:val="14"/>
        <w:rPr>
          <w:rFonts w:hint="eastAsia" w:ascii="黑体" w:hAnsi="宋体" w:eastAsia="黑体"/>
          <w:b/>
          <w:bCs/>
          <w:sz w:val="32"/>
          <w:szCs w:val="32"/>
        </w:rPr>
      </w:pPr>
    </w:p>
    <w:p w14:paraId="709921E0">
      <w:pPr>
        <w:pStyle w:val="14"/>
        <w:rPr>
          <w:rFonts w:hint="eastAsia" w:ascii="黑体" w:hAnsi="宋体" w:eastAsia="黑体"/>
          <w:b/>
          <w:bCs/>
          <w:sz w:val="32"/>
          <w:szCs w:val="32"/>
        </w:rPr>
      </w:pPr>
    </w:p>
    <w:p w14:paraId="0F13AC32">
      <w:pPr>
        <w:pStyle w:val="14"/>
        <w:rPr>
          <w:rFonts w:hint="eastAsia" w:ascii="黑体" w:hAnsi="宋体" w:eastAsia="黑体"/>
          <w:b/>
          <w:bCs/>
          <w:sz w:val="32"/>
          <w:szCs w:val="32"/>
        </w:rPr>
      </w:pPr>
    </w:p>
    <w:p w14:paraId="18E28032">
      <w:pPr>
        <w:pStyle w:val="14"/>
        <w:rPr>
          <w:rFonts w:hint="eastAsia" w:ascii="黑体" w:hAnsi="宋体" w:eastAsia="黑体"/>
          <w:b/>
          <w:bCs/>
          <w:sz w:val="32"/>
          <w:szCs w:val="32"/>
        </w:rPr>
      </w:pPr>
    </w:p>
    <w:p w14:paraId="08E58547">
      <w:pPr>
        <w:pStyle w:val="14"/>
        <w:rPr>
          <w:rFonts w:hint="eastAsia" w:ascii="黑体" w:hAnsi="宋体" w:eastAsia="黑体"/>
          <w:b/>
          <w:bCs/>
          <w:sz w:val="32"/>
          <w:szCs w:val="32"/>
        </w:rPr>
      </w:pPr>
    </w:p>
    <w:p w14:paraId="3F781B90">
      <w:pPr>
        <w:pStyle w:val="14"/>
        <w:rPr>
          <w:rFonts w:hint="eastAsia" w:ascii="黑体" w:hAnsi="宋体" w:eastAsia="黑体"/>
          <w:b/>
          <w:bCs/>
          <w:sz w:val="32"/>
          <w:szCs w:val="32"/>
        </w:rPr>
      </w:pPr>
    </w:p>
    <w:p w14:paraId="1B68D0E6">
      <w:pPr>
        <w:pStyle w:val="14"/>
        <w:rPr>
          <w:rFonts w:hint="eastAsia" w:ascii="黑体" w:hAnsi="宋体" w:eastAsia="黑体"/>
          <w:b/>
          <w:bCs/>
          <w:sz w:val="32"/>
          <w:szCs w:val="32"/>
        </w:rPr>
      </w:pPr>
    </w:p>
    <w:p w14:paraId="7B56BA84">
      <w:pPr>
        <w:pStyle w:val="14"/>
        <w:rPr>
          <w:rFonts w:hint="eastAsia" w:ascii="黑体" w:hAnsi="宋体" w:eastAsia="黑体"/>
          <w:b/>
          <w:bCs/>
          <w:sz w:val="32"/>
          <w:szCs w:val="32"/>
        </w:rPr>
      </w:pPr>
    </w:p>
    <w:p w14:paraId="37C51007">
      <w:pPr>
        <w:pStyle w:val="14"/>
        <w:rPr>
          <w:rFonts w:hint="eastAsia" w:ascii="黑体" w:hAnsi="宋体" w:eastAsia="黑体"/>
          <w:b/>
          <w:bCs/>
          <w:sz w:val="32"/>
          <w:szCs w:val="32"/>
        </w:rPr>
      </w:pPr>
    </w:p>
    <w:p w14:paraId="448399E5">
      <w:pPr>
        <w:pStyle w:val="14"/>
        <w:rPr>
          <w:rFonts w:hint="eastAsia" w:ascii="黑体" w:hAnsi="宋体" w:eastAsia="黑体"/>
          <w:b/>
          <w:bCs/>
          <w:sz w:val="32"/>
          <w:szCs w:val="32"/>
        </w:rPr>
      </w:pPr>
    </w:p>
    <w:p w14:paraId="0406F2A5">
      <w:pPr>
        <w:pStyle w:val="14"/>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4"/>
        <w:rPr>
          <w:rFonts w:hint="eastAsia"/>
          <w:b/>
          <w:sz w:val="32"/>
          <w:szCs w:val="32"/>
        </w:rPr>
      </w:pPr>
    </w:p>
    <w:p w14:paraId="3E2BAE9F">
      <w:pPr>
        <w:pStyle w:val="14"/>
        <w:rPr>
          <w:rFonts w:hint="eastAsia"/>
          <w:b/>
          <w:sz w:val="32"/>
          <w:szCs w:val="32"/>
        </w:rPr>
      </w:pPr>
    </w:p>
    <w:p w14:paraId="31CC1F9B">
      <w:pPr>
        <w:pStyle w:val="14"/>
        <w:rPr>
          <w:rFonts w:hint="eastAsia"/>
          <w:b/>
          <w:sz w:val="32"/>
          <w:szCs w:val="32"/>
        </w:rPr>
      </w:pPr>
    </w:p>
    <w:p w14:paraId="66F4DD6C">
      <w:pPr>
        <w:pStyle w:val="14"/>
        <w:rPr>
          <w:rFonts w:hint="eastAsia"/>
          <w:b/>
          <w:sz w:val="32"/>
          <w:szCs w:val="32"/>
        </w:rPr>
      </w:pPr>
    </w:p>
    <w:p w14:paraId="1F7476C0">
      <w:pPr>
        <w:pStyle w:val="14"/>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4"/>
        <w:rPr>
          <w:rFonts w:hint="eastAsia"/>
          <w:b/>
          <w:sz w:val="32"/>
          <w:szCs w:val="32"/>
        </w:rPr>
      </w:pPr>
    </w:p>
    <w:p w14:paraId="4573D810">
      <w:pPr>
        <w:pStyle w:val="14"/>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14"/>
        <w:rPr>
          <w:rFonts w:hint="eastAsia"/>
          <w:lang w:eastAsia="zh-CN"/>
        </w:rPr>
      </w:pPr>
    </w:p>
    <w:p w14:paraId="03EF6F1C">
      <w:pPr>
        <w:pStyle w:val="14"/>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0"/>
        <w:pBdr>
          <w:bottom w:val="none" w:color="auto" w:sz="0" w:space="0"/>
        </w:pBdr>
        <w:tabs>
          <w:tab w:val="clear" w:pos="4153"/>
          <w:tab w:val="clear" w:pos="8306"/>
        </w:tabs>
        <w:snapToGrid/>
        <w:jc w:val="both"/>
        <w:rPr>
          <w:rFonts w:hint="eastAsia" w:ascii="宋体" w:hAnsi="宋体"/>
          <w:sz w:val="24"/>
          <w:szCs w:val="24"/>
        </w:rPr>
      </w:pPr>
    </w:p>
    <w:p w14:paraId="64CDB550">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8"/>
        <w:tabs>
          <w:tab w:val="left" w:pos="0"/>
        </w:tabs>
        <w:spacing w:after="0" w:line="400" w:lineRule="exact"/>
        <w:rPr>
          <w:rFonts w:hint="eastAsia"/>
        </w:rPr>
      </w:pPr>
    </w:p>
    <w:p w14:paraId="09233E8B">
      <w:pPr>
        <w:pStyle w:val="8"/>
        <w:tabs>
          <w:tab w:val="left" w:pos="0"/>
        </w:tabs>
        <w:rPr>
          <w:rFonts w:hint="eastAsia"/>
        </w:rPr>
      </w:pPr>
    </w:p>
    <w:p w14:paraId="5BF951EE">
      <w:pPr>
        <w:pStyle w:val="8"/>
        <w:tabs>
          <w:tab w:val="left" w:pos="0"/>
        </w:tabs>
        <w:rPr>
          <w:rFonts w:hint="eastAsia"/>
        </w:rPr>
      </w:pPr>
    </w:p>
    <w:p w14:paraId="1EACDFB2">
      <w:pPr>
        <w:pStyle w:val="8"/>
        <w:tabs>
          <w:tab w:val="left" w:pos="0"/>
        </w:tabs>
        <w:rPr>
          <w:rFonts w:hint="eastAsia"/>
        </w:rPr>
      </w:pPr>
    </w:p>
    <w:p w14:paraId="49BA259B">
      <w:pPr>
        <w:pStyle w:val="8"/>
        <w:tabs>
          <w:tab w:val="left" w:pos="0"/>
        </w:tabs>
        <w:rPr>
          <w:rFonts w:hint="eastAsia"/>
        </w:rPr>
      </w:pPr>
    </w:p>
    <w:p w14:paraId="26D6F00E">
      <w:pPr>
        <w:pStyle w:val="8"/>
        <w:tabs>
          <w:tab w:val="left" w:pos="0"/>
        </w:tabs>
        <w:rPr>
          <w:rFonts w:hint="eastAsia"/>
        </w:rPr>
      </w:pPr>
    </w:p>
    <w:p w14:paraId="587DFC25">
      <w:pPr>
        <w:pStyle w:val="8"/>
        <w:tabs>
          <w:tab w:val="left" w:pos="0"/>
        </w:tabs>
        <w:ind w:left="0" w:leftChars="0" w:firstLine="0" w:firstLineChars="0"/>
        <w:jc w:val="both"/>
        <w:rPr>
          <w:rFonts w:hint="eastAsia"/>
          <w:b/>
          <w:sz w:val="32"/>
          <w:szCs w:val="32"/>
        </w:rPr>
      </w:pPr>
    </w:p>
    <w:p w14:paraId="0FD1EA34">
      <w:pPr>
        <w:pStyle w:val="8"/>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0"/>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8"/>
        <w:tabs>
          <w:tab w:val="left" w:pos="0"/>
        </w:tabs>
        <w:jc w:val="center"/>
        <w:rPr>
          <w:rFonts w:hint="eastAsia"/>
        </w:rPr>
      </w:pPr>
    </w:p>
    <w:p w14:paraId="0CD2C491">
      <w:pPr>
        <w:pStyle w:val="8"/>
        <w:tabs>
          <w:tab w:val="left" w:pos="0"/>
        </w:tabs>
        <w:jc w:val="center"/>
        <w:rPr>
          <w:rFonts w:hint="eastAsia"/>
        </w:rPr>
      </w:pPr>
    </w:p>
    <w:p w14:paraId="51992F2D">
      <w:pPr>
        <w:pStyle w:val="8"/>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4"/>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4"/>
        <w:rPr>
          <w:sz w:val="24"/>
          <w:highlight w:val="white"/>
        </w:rPr>
      </w:pPr>
    </w:p>
    <w:p w14:paraId="4C0E06A2">
      <w:pPr>
        <w:pStyle w:val="14"/>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4"/>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4"/>
        <w:rPr>
          <w:rFonts w:hint="eastAsia"/>
          <w:sz w:val="24"/>
          <w:highlight w:val="white"/>
        </w:rPr>
      </w:pPr>
    </w:p>
    <w:p w14:paraId="1C83667E">
      <w:pPr>
        <w:pStyle w:val="14"/>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4"/>
        <w:rPr>
          <w:rFonts w:hint="eastAsia"/>
          <w:sz w:val="24"/>
          <w:highlight w:val="white"/>
        </w:rPr>
      </w:pPr>
    </w:p>
    <w:p w14:paraId="632478B8">
      <w:pPr>
        <w:pStyle w:val="14"/>
        <w:rPr>
          <w:rFonts w:hint="eastAsia"/>
          <w:sz w:val="24"/>
          <w:highlight w:val="white"/>
        </w:rPr>
      </w:pPr>
    </w:p>
    <w:p w14:paraId="0483F5B2">
      <w:pPr>
        <w:pStyle w:val="14"/>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4"/>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4"/>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4"/>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4"/>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9"/>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9"/>
      <w:framePr w:wrap="around" w:vAnchor="text" w:hAnchor="margin" w:xAlign="outside" w:y="1"/>
      <w:rPr>
        <w:rStyle w:val="19"/>
        <w:rFonts w:hint="eastAsia" w:ascii="Times New Roman" w:hAnsi="Times New Roman" w:eastAsia="宋体" w:cs="Times New Roman"/>
      </w:rPr>
    </w:pPr>
  </w:p>
  <w:p w14:paraId="2FA3308A">
    <w:pPr>
      <w:pStyle w:val="9"/>
      <w:framePr w:wrap="around" w:vAnchor="text" w:hAnchor="margin" w:xAlign="outside" w:y="1"/>
      <w:rPr>
        <w:rStyle w:val="19"/>
        <w:rFonts w:hint="eastAsia" w:ascii="Times New Roman" w:hAnsi="Times New Roman" w:eastAsia="宋体" w:cs="Times New Roman"/>
      </w:rPr>
    </w:pPr>
  </w:p>
  <w:p w14:paraId="74A77EF2">
    <w:pPr>
      <w:pStyle w:val="9"/>
      <w:framePr w:wrap="around" w:vAnchor="text" w:hAnchor="margin" w:xAlign="outside" w:y="1"/>
      <w:rPr>
        <w:rStyle w:val="19"/>
        <w:rFonts w:hint="eastAsia" w:ascii="Times New Roman" w:hAnsi="Times New Roman" w:eastAsia="宋体" w:cs="Times New Roman"/>
      </w:rPr>
    </w:pPr>
  </w:p>
  <w:p w14:paraId="06428C61">
    <w:pPr>
      <w:pStyle w:val="9"/>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9"/>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9"/>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9"/>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9"/>
      <w:framePr w:wrap="around" w:vAnchor="text" w:hAnchor="margin" w:xAlign="outside" w:y="1"/>
      <w:rPr>
        <w:rStyle w:val="19"/>
        <w:rFonts w:hint="eastAsia"/>
      </w:rPr>
    </w:pPr>
  </w:p>
  <w:p w14:paraId="4A84BA1B">
    <w:pPr>
      <w:pStyle w:val="9"/>
      <w:framePr w:wrap="around" w:vAnchor="text" w:hAnchor="margin" w:xAlign="outside" w:y="1"/>
      <w:rPr>
        <w:rStyle w:val="19"/>
        <w:rFonts w:hint="eastAsia"/>
      </w:rPr>
    </w:pPr>
  </w:p>
  <w:p w14:paraId="4FA7D3F1">
    <w:pPr>
      <w:pStyle w:val="9"/>
      <w:framePr w:wrap="around" w:vAnchor="text" w:hAnchor="margin" w:xAlign="outside" w:y="1"/>
      <w:rPr>
        <w:rStyle w:val="19"/>
        <w:rFonts w:hint="eastAsia"/>
      </w:rPr>
    </w:pPr>
  </w:p>
  <w:p w14:paraId="6C2E5B50">
    <w:pPr>
      <w:pStyle w:val="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9"/>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0"/>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7A41AD7"/>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5CA0325"/>
    <w:rsid w:val="16FE5738"/>
    <w:rsid w:val="17076BA6"/>
    <w:rsid w:val="17214185"/>
    <w:rsid w:val="17AC53CA"/>
    <w:rsid w:val="17D16426"/>
    <w:rsid w:val="18D362B4"/>
    <w:rsid w:val="19575943"/>
    <w:rsid w:val="195A66FF"/>
    <w:rsid w:val="196E39FC"/>
    <w:rsid w:val="19970C16"/>
    <w:rsid w:val="1A1C153A"/>
    <w:rsid w:val="1A412630"/>
    <w:rsid w:val="1A705BA0"/>
    <w:rsid w:val="1C790BEF"/>
    <w:rsid w:val="1CC21F8E"/>
    <w:rsid w:val="1DDF0350"/>
    <w:rsid w:val="1E484501"/>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5A7263"/>
    <w:rsid w:val="27644041"/>
    <w:rsid w:val="28FC4860"/>
    <w:rsid w:val="28FC7A35"/>
    <w:rsid w:val="2A1047F1"/>
    <w:rsid w:val="2A745C14"/>
    <w:rsid w:val="2AAA30F8"/>
    <w:rsid w:val="2AE95BE6"/>
    <w:rsid w:val="2AE9675F"/>
    <w:rsid w:val="2AEB2240"/>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1B0F8A"/>
    <w:rsid w:val="38CF6C67"/>
    <w:rsid w:val="399E4444"/>
    <w:rsid w:val="39F00B36"/>
    <w:rsid w:val="39F6064F"/>
    <w:rsid w:val="3A027D9F"/>
    <w:rsid w:val="3AAA3917"/>
    <w:rsid w:val="3ADD3456"/>
    <w:rsid w:val="3B4B5EE5"/>
    <w:rsid w:val="3B971312"/>
    <w:rsid w:val="3BA20ED0"/>
    <w:rsid w:val="3C64337B"/>
    <w:rsid w:val="3D255EAC"/>
    <w:rsid w:val="3DA22932"/>
    <w:rsid w:val="3E1E4076"/>
    <w:rsid w:val="3F076215"/>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D11F3C"/>
    <w:rsid w:val="4AE905BD"/>
    <w:rsid w:val="4AF905C9"/>
    <w:rsid w:val="4B4357DF"/>
    <w:rsid w:val="4C192B2B"/>
    <w:rsid w:val="4C5A31D0"/>
    <w:rsid w:val="4C667968"/>
    <w:rsid w:val="4D094EC3"/>
    <w:rsid w:val="4D3F2ADF"/>
    <w:rsid w:val="4DBB6A04"/>
    <w:rsid w:val="4E6E2C07"/>
    <w:rsid w:val="4EBF4055"/>
    <w:rsid w:val="4EC400D5"/>
    <w:rsid w:val="4EDD2E4D"/>
    <w:rsid w:val="4F45676F"/>
    <w:rsid w:val="4F9B62CA"/>
    <w:rsid w:val="501D6280"/>
    <w:rsid w:val="50E32F3E"/>
    <w:rsid w:val="52D75F1F"/>
    <w:rsid w:val="53795B2E"/>
    <w:rsid w:val="540A6EF0"/>
    <w:rsid w:val="54E61D80"/>
    <w:rsid w:val="552B0390"/>
    <w:rsid w:val="560A5808"/>
    <w:rsid w:val="56163B54"/>
    <w:rsid w:val="562A7CF5"/>
    <w:rsid w:val="56356D29"/>
    <w:rsid w:val="56383356"/>
    <w:rsid w:val="56537BBB"/>
    <w:rsid w:val="566D68DF"/>
    <w:rsid w:val="5691060A"/>
    <w:rsid w:val="56B1772C"/>
    <w:rsid w:val="56F47B21"/>
    <w:rsid w:val="572063DD"/>
    <w:rsid w:val="573C5230"/>
    <w:rsid w:val="57B81CF9"/>
    <w:rsid w:val="58375B00"/>
    <w:rsid w:val="584B5BE4"/>
    <w:rsid w:val="58905DEE"/>
    <w:rsid w:val="5901420E"/>
    <w:rsid w:val="59C232FC"/>
    <w:rsid w:val="59D3326C"/>
    <w:rsid w:val="5AA4447D"/>
    <w:rsid w:val="5AC63350"/>
    <w:rsid w:val="5ADB6F33"/>
    <w:rsid w:val="5BC27203"/>
    <w:rsid w:val="5C2C4CF4"/>
    <w:rsid w:val="5C4E7ACC"/>
    <w:rsid w:val="5C57765F"/>
    <w:rsid w:val="5CAC7D5B"/>
    <w:rsid w:val="5CDC79F3"/>
    <w:rsid w:val="5D7E2CB1"/>
    <w:rsid w:val="5E7746B1"/>
    <w:rsid w:val="5F3F5BA7"/>
    <w:rsid w:val="5F9C5684"/>
    <w:rsid w:val="5FAB2C98"/>
    <w:rsid w:val="5FE96808"/>
    <w:rsid w:val="5FF6089C"/>
    <w:rsid w:val="6005277B"/>
    <w:rsid w:val="603D5D93"/>
    <w:rsid w:val="617306A1"/>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1F8347C"/>
    <w:rsid w:val="72124A65"/>
    <w:rsid w:val="73640109"/>
    <w:rsid w:val="73A42611"/>
    <w:rsid w:val="73AE127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1"/>
    <w:autoRedefine/>
    <w:qFormat/>
    <w:uiPriority w:val="0"/>
    <w:pPr>
      <w:spacing w:after="120"/>
    </w:pPr>
    <w:rPr>
      <w:szCs w:val="22"/>
    </w:rPr>
  </w:style>
  <w:style w:type="paragraph" w:styleId="7">
    <w:name w:val="Body Text Indent"/>
    <w:basedOn w:val="1"/>
    <w:autoRedefine/>
    <w:qFormat/>
    <w:uiPriority w:val="0"/>
    <w:pPr>
      <w:ind w:firstLine="630"/>
    </w:pPr>
    <w:rPr>
      <w:sz w:val="32"/>
      <w:szCs w:val="20"/>
    </w:rPr>
  </w:style>
  <w:style w:type="paragraph" w:styleId="8">
    <w:name w:val="Body Text Indent 2"/>
    <w:basedOn w:val="1"/>
    <w:autoRedefine/>
    <w:qFormat/>
    <w:uiPriority w:val="0"/>
    <w:pPr>
      <w:spacing w:after="120" w:line="480" w:lineRule="auto"/>
      <w:ind w:left="420" w:leftChars="200"/>
    </w:pPr>
  </w:style>
  <w:style w:type="paragraph" w:styleId="9">
    <w:name w:val="footer"/>
    <w:basedOn w:val="1"/>
    <w:autoRedefine/>
    <w:qFormat/>
    <w:uiPriority w:val="99"/>
    <w:pPr>
      <w:tabs>
        <w:tab w:val="center" w:pos="4153"/>
        <w:tab w:val="right" w:pos="8306"/>
      </w:tabs>
      <w:snapToGrid w:val="0"/>
      <w:jc w:val="left"/>
    </w:pPr>
    <w:rPr>
      <w:sz w:val="18"/>
      <w:szCs w:val="20"/>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1">
    <w:name w:val="toc 1"/>
    <w:basedOn w:val="1"/>
    <w:next w:val="1"/>
    <w:autoRedefine/>
    <w:qFormat/>
    <w:uiPriority w:val="0"/>
  </w:style>
  <w:style w:type="paragraph" w:styleId="12">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3">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4">
    <w:name w:val="Body Text First Indent"/>
    <w:basedOn w:val="6"/>
    <w:autoRedefine/>
    <w:qFormat/>
    <w:uiPriority w:val="0"/>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11477</Words>
  <Characters>12093</Characters>
  <Lines>0</Lines>
  <Paragraphs>0</Paragraphs>
  <TotalTime>0</TotalTime>
  <ScaleCrop>false</ScaleCrop>
  <LinksUpToDate>false</LinksUpToDate>
  <CharactersWithSpaces>12608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鲁佳俊</cp:lastModifiedBy>
  <cp:lastPrinted>2026-05-18T06:46:00Z</cp:lastPrinted>
  <dcterms:modified xsi:type="dcterms:W3CDTF">2026-05-28T09:05:26Z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98EBC1986D1242EDB56CDA21F49C1E75_13</vt:lpwstr>
  </property>
  <property fmtid="{D5CDD505-2E9C-101B-9397-08002B2CF9AE}" pid="4" name="KSOTemplateDocerSaveRecord">
    <vt:lpwstr>eyJoZGlkIjoiM2VmM2FjNzRjOWM3N2FmZjhjMzc2MzE1M2U2MTdhNGEiLCJ1c2VySWQiOiIxNzc1NDk1MTY0In0=</vt:lpwstr>
  </property>
</Properties>
</file>