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843627"/>
      <w:bookmarkEnd w:id="0"/>
      <w:bookmarkStart w:id="1" w:name="_Hlt10123373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eastAsia"/>
          <w:b/>
          <w:sz w:val="28"/>
          <w:lang w:eastAsia="zh-CN"/>
        </w:rPr>
      </w:pPr>
      <w:r>
        <w:rPr>
          <w:b/>
          <w:sz w:val="28"/>
        </w:rPr>
        <w:t>采购项目名称：</w:t>
      </w:r>
      <w:r>
        <w:rPr>
          <w:rFonts w:hint="eastAsia"/>
          <w:b/>
          <w:sz w:val="28"/>
          <w:lang w:eastAsia="zh-CN"/>
        </w:rPr>
        <w:t>邻水县人民医院</w:t>
      </w:r>
      <w:r>
        <w:rPr>
          <w:rFonts w:hint="eastAsia"/>
          <w:b/>
          <w:sz w:val="28"/>
          <w:lang w:val="en-US" w:eastAsia="zh-CN"/>
        </w:rPr>
        <w:t>危险废物处置</w:t>
      </w:r>
    </w:p>
    <w:p w14:paraId="14DDC134">
      <w:pPr>
        <w:pStyle w:val="29"/>
        <w:jc w:val="center"/>
        <w:outlineLvl w:val="2"/>
      </w:pPr>
      <w:r>
        <w:rPr>
          <w:b/>
          <w:sz w:val="28"/>
        </w:rPr>
        <w:t>采购项目编号：</w:t>
      </w:r>
      <w:r>
        <w:rPr>
          <w:rFonts w:hint="eastAsia" w:ascii="宋体"/>
          <w:b/>
          <w:sz w:val="30"/>
          <w:szCs w:val="30"/>
          <w:lang w:eastAsia="zh-CN"/>
        </w:rPr>
        <w:t>LYC-202</w:t>
      </w:r>
      <w:r>
        <w:rPr>
          <w:rFonts w:hint="eastAsia" w:ascii="宋体"/>
          <w:b/>
          <w:sz w:val="30"/>
          <w:szCs w:val="30"/>
          <w:lang w:val="en-US" w:eastAsia="zh-CN"/>
        </w:rPr>
        <w:t>6</w:t>
      </w:r>
      <w:r>
        <w:rPr>
          <w:rFonts w:hint="eastAsia" w:ascii="宋体"/>
          <w:b/>
          <w:sz w:val="30"/>
          <w:szCs w:val="30"/>
          <w:lang w:eastAsia="zh-CN"/>
        </w:rPr>
        <w:t>-</w:t>
      </w:r>
      <w:r>
        <w:rPr>
          <w:rFonts w:hint="eastAsia" w:ascii="宋体"/>
          <w:b/>
          <w:sz w:val="30"/>
          <w:szCs w:val="30"/>
          <w:lang w:val="en-US" w:eastAsia="zh-CN"/>
        </w:rPr>
        <w:t>034</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6</w:t>
      </w:r>
      <w:r>
        <w:rPr>
          <w:b/>
          <w:sz w:val="28"/>
        </w:rPr>
        <w:t>年</w:t>
      </w:r>
      <w:r>
        <w:rPr>
          <w:rFonts w:hint="eastAsia"/>
          <w:b/>
          <w:sz w:val="28"/>
          <w:lang w:val="en-US" w:eastAsia="zh-CN"/>
        </w:rPr>
        <w:t>5</w:t>
      </w:r>
      <w:r>
        <w:rPr>
          <w:b/>
          <w:sz w:val="28"/>
        </w:rPr>
        <w:t>月</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30906"/>
      <w:bookmarkStart w:id="3" w:name="_Toc2769"/>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LYC-2026-034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危险废物处置</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5</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 xml:space="preserve"> 5 </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3FE9CC54">
      <w:pPr>
        <w:adjustRightInd w:val="0"/>
        <w:spacing w:line="360" w:lineRule="auto"/>
        <w:ind w:firstLine="480" w:firstLineChars="200"/>
        <w:rPr>
          <w:rFonts w:hint="eastAsia" w:ascii="宋体" w:hAnsi="宋体" w:cs="Times New Roman"/>
          <w:sz w:val="24"/>
          <w:szCs w:val="22"/>
          <w:lang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eastAsia="zh-CN"/>
        </w:rPr>
        <w:t>（1）须具备生态环境保护部门认定的有效期内的危险废物经营资质或授权使用的危险废物经营资质(危险废物经营许可证或者允许经营危险废物的批复文件等国家认可的危险废物经营资质），且证书必须在有效期内，经营范围应涵盖危废类别：WH01医疗废物【841-001-01，841-004-01，841-005-01,900-047-49】</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lang w:eastAsia="zh-CN"/>
        </w:rPr>
        <w:t>（2）须提供《道路危险货物运输许可证》或允许从事危险废物运输《道路运输经营许可证》。如末取得资质，投标人可委托第三方取得危险货物运输经营许可证的公司运输，但需提供开展运输合作的合同原件扫描件。</w:t>
      </w:r>
    </w:p>
    <w:p w14:paraId="20D55FE1">
      <w:pPr>
        <w:pStyle w:val="6"/>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5 </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 27</w:t>
      </w:r>
      <w:bookmarkStart w:id="34" w:name="_GoBack"/>
      <w:bookmarkEnd w:id="34"/>
      <w:r>
        <w:rPr>
          <w:rFonts w:hint="eastAsia" w:ascii="宋体" w:hAnsi="宋体"/>
          <w:b/>
          <w:bCs/>
          <w:color w:val="auto"/>
          <w:sz w:val="24"/>
          <w:u w:val="single"/>
          <w:lang w:val="en-US" w:eastAsia="zh-CN"/>
        </w:rPr>
        <w:t xml:space="preserve">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5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28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5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28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5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28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、魏老师</w:t>
      </w:r>
      <w:r>
        <w:rPr>
          <w:rFonts w:hint="eastAsia"/>
          <w:sz w:val="24"/>
          <w:lang w:val="en-US" w:eastAsia="zh-CN"/>
        </w:rPr>
        <w:tab/>
      </w:r>
    </w:p>
    <w:p w14:paraId="2D0F87E9">
      <w:pPr>
        <w:pStyle w:val="21"/>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、13882615861 </w:t>
      </w:r>
    </w:p>
    <w:p w14:paraId="29538C5F">
      <w:pPr>
        <w:pStyle w:val="21"/>
        <w:spacing w:line="440" w:lineRule="exact"/>
        <w:ind w:firstLine="1200" w:firstLineChars="500"/>
        <w:rPr>
          <w:rFonts w:hint="default"/>
          <w:sz w:val="24"/>
          <w:lang w:val="en-US" w:eastAsia="zh-CN"/>
        </w:rPr>
      </w:pPr>
    </w:p>
    <w:p w14:paraId="016FA503">
      <w:pPr>
        <w:pStyle w:val="13"/>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500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500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4"/>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13038"/>
      <w:bookmarkStart w:id="7" w:name="_Toc17067"/>
      <w:bookmarkStart w:id="8" w:name="_Toc15215"/>
      <w:bookmarkStart w:id="9" w:name="_Toc24295"/>
      <w:bookmarkStart w:id="10" w:name="_Toc31240"/>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p>
    <w:p w14:paraId="06964830">
      <w:pPr>
        <w:spacing w:line="400" w:lineRule="exact"/>
        <w:ind w:firstLine="480" w:firstLineChars="200"/>
        <w:rPr>
          <w:rFonts w:hint="eastAsia" w:ascii="宋体" w:hAnsi="宋体"/>
          <w:sz w:val="24"/>
        </w:rPr>
      </w:pPr>
      <w:r>
        <w:rPr>
          <w:rFonts w:hint="eastAsia" w:ascii="宋体" w:hAnsi="宋体"/>
          <w:sz w:val="24"/>
        </w:rPr>
        <w:t>5.</w:t>
      </w:r>
      <w:r>
        <w:rPr>
          <w:rFonts w:hint="eastAsia" w:ascii="宋体" w:hAnsi="宋体"/>
          <w:sz w:val="24"/>
          <w:lang w:val="en-US" w:eastAsia="zh-CN"/>
        </w:rPr>
        <w:t>5</w:t>
      </w:r>
      <w:r>
        <w:rPr>
          <w:rFonts w:hint="eastAsia" w:ascii="宋体" w:hAnsi="宋体"/>
          <w:sz w:val="24"/>
        </w:rPr>
        <w:t>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w:t>
      </w:r>
      <w:r>
        <w:rPr>
          <w:rFonts w:hint="eastAsia" w:hAnsi="宋体"/>
          <w:sz w:val="24"/>
          <w:lang w:val="en-US" w:eastAsia="zh-CN"/>
        </w:rPr>
        <w:t>6</w:t>
      </w:r>
      <w:r>
        <w:rPr>
          <w:rFonts w:hint="eastAsia" w:hAnsi="宋体"/>
          <w:sz w:val="24"/>
        </w:rPr>
        <w:t>回避。采购活动中，采购人员及相关人员与供应商有下列利害关系之一的，应当回避：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7"/>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101250646"/>
      <w:bookmarkStart w:id="12" w:name="_Toc101338364"/>
      <w:bookmarkStart w:id="13" w:name="_Toc101174151"/>
      <w:bookmarkStart w:id="14" w:name="_Toc209847069"/>
      <w:bookmarkStart w:id="15" w:name="_Toc430773927"/>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6"/>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4"/>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2AB48BEB">
      <w:pPr>
        <w:adjustRightInd w:val="0"/>
        <w:spacing w:line="360" w:lineRule="auto"/>
        <w:ind w:firstLine="480" w:firstLineChars="200"/>
        <w:rPr>
          <w:rFonts w:hint="eastAsia" w:ascii="宋体" w:hAnsi="宋体" w:cs="Times New Roman"/>
          <w:sz w:val="24"/>
          <w:szCs w:val="22"/>
          <w:lang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w:t>
      </w:r>
      <w:r>
        <w:rPr>
          <w:rFonts w:hint="eastAsia" w:ascii="宋体" w:hAnsi="宋体" w:cs="Times New Roman"/>
          <w:sz w:val="24"/>
          <w:szCs w:val="22"/>
          <w:lang w:eastAsia="zh-CN"/>
        </w:rPr>
        <w:t>（1）须具备生态环境保护部门认定的有效期内的危险废物经营资质或授权使用的危险废物经营资质(危险废物经营许可证或者允许经营危险废物的批复文件等国家认可的危险废物经营资质），且证书必须在有效期内，经营范围应涵盖危废类别：WH01医疗废物【841-001-01，841-004-01，841-005-01,900-047-49】</w:t>
      </w:r>
    </w:p>
    <w:p w14:paraId="6828AFCD">
      <w:pPr>
        <w:adjustRightInd w:val="0"/>
        <w:spacing w:line="360" w:lineRule="auto"/>
        <w:ind w:firstLine="480" w:firstLineChars="200"/>
        <w:rPr>
          <w:rFonts w:hint="eastAsia" w:ascii="宋体" w:hAnsi="宋体" w:eastAsia="宋体" w:cs="Times New Roman"/>
          <w:b w:val="0"/>
          <w:bCs w:val="0"/>
          <w:sz w:val="24"/>
          <w:lang w:val="en-US" w:eastAsia="zh-CN"/>
        </w:rPr>
      </w:pPr>
      <w:r>
        <w:rPr>
          <w:rFonts w:hint="eastAsia" w:ascii="宋体" w:hAnsi="宋体" w:cs="Times New Roman"/>
          <w:sz w:val="24"/>
          <w:szCs w:val="22"/>
          <w:lang w:eastAsia="zh-CN"/>
        </w:rPr>
        <w:t>（2）须提供《道路危险货物运输许可证》或允许从事危险废物运输《道路运输经营许可证》。如末取得资质，投标人可委托第三方取得危险货物运输经营许可证的公司运输，但需提供开展运输合作的合同原件扫描件。</w:t>
      </w:r>
    </w:p>
    <w:p w14:paraId="41FC2A9C">
      <w:pPr>
        <w:pStyle w:val="6"/>
        <w:spacing w:line="500" w:lineRule="exact"/>
        <w:ind w:firstLine="480" w:firstLineChars="200"/>
        <w:rPr>
          <w:rFonts w:hint="eastAsia" w:ascii="宋体" w:hAnsi="宋体" w:cs="宋体"/>
          <w:sz w:val="24"/>
          <w:szCs w:val="24"/>
        </w:rPr>
      </w:pPr>
    </w:p>
    <w:p w14:paraId="3F3D25DD">
      <w:pPr>
        <w:pStyle w:val="14"/>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77400782"/>
      <w:bookmarkStart w:id="17" w:name="_Toc183682368"/>
      <w:bookmarkStart w:id="18" w:name="_Toc183582231"/>
      <w:bookmarkStart w:id="19" w:name="_Toc217446056"/>
      <w:bookmarkStart w:id="20" w:name="_Toc89075878"/>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2325"/>
      <w:bookmarkStart w:id="22" w:name="_Toc2129"/>
      <w:bookmarkStart w:id="23" w:name="_Toc183582232"/>
      <w:bookmarkStart w:id="24" w:name="_Toc217446057"/>
      <w:bookmarkStart w:id="25" w:name="_Toc183682369"/>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6"/>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2323"/>
      <w:bookmarkStart w:id="27" w:name="_Toc31907"/>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bookmarkEnd w:id="26"/>
      <w:bookmarkEnd w:id="27"/>
      <w:bookmarkStart w:id="28" w:name="_Toc3397"/>
      <w:bookmarkStart w:id="29" w:name="_Toc27680"/>
      <w:r>
        <w:rPr>
          <w:sz w:val="24"/>
          <w:szCs w:val="32"/>
        </w:rPr>
        <w:t>邻水县人民医院拟对</w:t>
      </w:r>
      <w:r>
        <w:rPr>
          <w:rFonts w:hint="eastAsia" w:cs="Times New Roman"/>
          <w:sz w:val="24"/>
          <w:szCs w:val="32"/>
          <w:lang w:eastAsia="zh-CN"/>
        </w:rPr>
        <w:t>危险废物</w:t>
      </w:r>
      <w:r>
        <w:rPr>
          <w:rFonts w:ascii="Times New Roman" w:hAnsi="Times New Roman" w:eastAsia="宋体" w:cs="Times New Roman"/>
          <w:sz w:val="24"/>
          <w:szCs w:val="32"/>
        </w:rPr>
        <w:t>进行</w:t>
      </w:r>
      <w:r>
        <w:rPr>
          <w:rFonts w:hint="eastAsia" w:cs="Times New Roman"/>
          <w:sz w:val="24"/>
          <w:szCs w:val="32"/>
          <w:lang w:eastAsia="zh-CN"/>
        </w:rPr>
        <w:t>处置</w:t>
      </w:r>
      <w:r>
        <w:rPr>
          <w:rFonts w:hint="eastAsia" w:ascii="宋体" w:hAnsi="宋体" w:eastAsia="宋体" w:cs="宋体"/>
          <w:kern w:val="2"/>
          <w:sz w:val="24"/>
          <w:szCs w:val="24"/>
          <w:lang w:val="en-US" w:eastAsia="zh-CN" w:bidi="ar-SA"/>
        </w:rPr>
        <w:t>。</w:t>
      </w:r>
    </w:p>
    <w:p w14:paraId="60E1A34C">
      <w:pPr>
        <w:numPr>
          <w:ilvl w:val="0"/>
          <w:numId w:val="0"/>
        </w:numPr>
        <w:spacing w:line="440" w:lineRule="exact"/>
        <w:ind w:firstLine="420" w:firstLineChars="200"/>
        <w:rPr>
          <w:rFonts w:hint="eastAsia" w:ascii="宋体" w:hAnsi="宋体" w:cs="宋体"/>
          <w:b/>
          <w:bCs/>
          <w:color w:val="000000"/>
          <w:sz w:val="28"/>
          <w:szCs w:val="28"/>
          <w:lang w:val="en-US" w:eastAsia="zh-CN"/>
        </w:rPr>
      </w:pPr>
      <w:r>
        <w:rPr>
          <w:rFonts w:ascii="仿宋_GB2312" w:hAnsi="仿宋_GB2312" w:eastAsia="仿宋_GB2312" w:cs="仿宋_GB2312"/>
        </w:rPr>
        <w:t>★</w:t>
      </w:r>
      <w:r>
        <w:rPr>
          <w:rFonts w:hint="eastAsia" w:ascii="宋体" w:hAnsi="宋体" w:cs="宋体"/>
          <w:b/>
          <w:bCs/>
          <w:color w:val="000000"/>
          <w:sz w:val="28"/>
          <w:szCs w:val="28"/>
          <w:lang w:val="en-US" w:eastAsia="zh-CN"/>
        </w:rPr>
        <w:t>二、项目清单</w:t>
      </w:r>
    </w:p>
    <w:tbl>
      <w:tblPr>
        <w:tblStyle w:val="16"/>
        <w:tblW w:w="8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2064"/>
        <w:gridCol w:w="1545"/>
        <w:gridCol w:w="1410"/>
        <w:gridCol w:w="1395"/>
        <w:gridCol w:w="1185"/>
      </w:tblGrid>
      <w:tr w14:paraId="10AEF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907" w:type="dxa"/>
            <w:noWrap w:val="0"/>
            <w:vAlign w:val="top"/>
          </w:tcPr>
          <w:p w14:paraId="229F230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序号</w:t>
            </w:r>
          </w:p>
        </w:tc>
        <w:tc>
          <w:tcPr>
            <w:tcW w:w="2064" w:type="dxa"/>
            <w:noWrap w:val="0"/>
            <w:vAlign w:val="top"/>
          </w:tcPr>
          <w:p w14:paraId="456C387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名称</w:t>
            </w:r>
          </w:p>
        </w:tc>
        <w:tc>
          <w:tcPr>
            <w:tcW w:w="1545" w:type="dxa"/>
            <w:noWrap w:val="0"/>
            <w:vAlign w:val="top"/>
          </w:tcPr>
          <w:p w14:paraId="36AF48A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单位</w:t>
            </w:r>
          </w:p>
        </w:tc>
        <w:tc>
          <w:tcPr>
            <w:tcW w:w="1410" w:type="dxa"/>
            <w:noWrap w:val="0"/>
            <w:vAlign w:val="top"/>
          </w:tcPr>
          <w:p w14:paraId="48DD783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预计数量</w:t>
            </w:r>
          </w:p>
        </w:tc>
        <w:tc>
          <w:tcPr>
            <w:tcW w:w="1395" w:type="dxa"/>
            <w:noWrap w:val="0"/>
            <w:vAlign w:val="top"/>
          </w:tcPr>
          <w:p w14:paraId="05D45E0C">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最高限价单价（元）</w:t>
            </w:r>
          </w:p>
        </w:tc>
        <w:tc>
          <w:tcPr>
            <w:tcW w:w="1185" w:type="dxa"/>
            <w:noWrap w:val="0"/>
            <w:vAlign w:val="top"/>
          </w:tcPr>
          <w:p w14:paraId="46B6746F">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备注</w:t>
            </w:r>
          </w:p>
        </w:tc>
      </w:tr>
      <w:tr w14:paraId="5A52E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07" w:type="dxa"/>
            <w:shd w:val="clear" w:color="auto" w:fill="auto"/>
            <w:noWrap w:val="0"/>
            <w:vAlign w:val="center"/>
          </w:tcPr>
          <w:p w14:paraId="1B5F737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w:t>
            </w:r>
          </w:p>
        </w:tc>
        <w:tc>
          <w:tcPr>
            <w:tcW w:w="2064" w:type="dxa"/>
            <w:shd w:val="clear" w:color="auto" w:fill="FFFFFF"/>
            <w:noWrap w:val="0"/>
            <w:vAlign w:val="center"/>
          </w:tcPr>
          <w:p w14:paraId="14E163F2">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淤泥</w:t>
            </w:r>
          </w:p>
        </w:tc>
        <w:tc>
          <w:tcPr>
            <w:tcW w:w="1545" w:type="dxa"/>
            <w:shd w:val="clear" w:color="auto" w:fill="FFFFFF"/>
            <w:noWrap w:val="0"/>
            <w:vAlign w:val="center"/>
          </w:tcPr>
          <w:p w14:paraId="733E135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千克</w:t>
            </w:r>
          </w:p>
        </w:tc>
        <w:tc>
          <w:tcPr>
            <w:tcW w:w="1410" w:type="dxa"/>
            <w:shd w:val="clear" w:color="auto" w:fill="FFFFFF"/>
            <w:noWrap w:val="0"/>
            <w:vAlign w:val="center"/>
          </w:tcPr>
          <w:p w14:paraId="65C1DCAF">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1200</w:t>
            </w:r>
          </w:p>
        </w:tc>
        <w:tc>
          <w:tcPr>
            <w:tcW w:w="1395" w:type="dxa"/>
            <w:shd w:val="clear" w:color="auto" w:fill="auto"/>
            <w:noWrap w:val="0"/>
            <w:vAlign w:val="center"/>
          </w:tcPr>
          <w:p w14:paraId="6682BC00">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1185" w:type="dxa"/>
            <w:shd w:val="clear" w:color="auto" w:fill="FFFFFF"/>
            <w:noWrap w:val="0"/>
            <w:vAlign w:val="center"/>
          </w:tcPr>
          <w:p w14:paraId="19738EE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kern w:val="2"/>
                <w:sz w:val="24"/>
                <w:szCs w:val="24"/>
                <w:lang w:val="en-US" w:eastAsia="zh-CN" w:bidi="ar-SA"/>
              </w:rPr>
            </w:pPr>
          </w:p>
        </w:tc>
      </w:tr>
      <w:tr w14:paraId="4BF11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07" w:type="dxa"/>
            <w:shd w:val="clear" w:color="auto" w:fill="auto"/>
            <w:noWrap w:val="0"/>
            <w:vAlign w:val="center"/>
          </w:tcPr>
          <w:p w14:paraId="153D803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w:t>
            </w:r>
          </w:p>
        </w:tc>
        <w:tc>
          <w:tcPr>
            <w:tcW w:w="2064" w:type="dxa"/>
            <w:shd w:val="clear" w:color="auto" w:fill="FFFFFF"/>
            <w:noWrap w:val="0"/>
            <w:vAlign w:val="center"/>
          </w:tcPr>
          <w:p w14:paraId="005A6EBA">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化学性废物</w:t>
            </w:r>
          </w:p>
        </w:tc>
        <w:tc>
          <w:tcPr>
            <w:tcW w:w="1545" w:type="dxa"/>
            <w:shd w:val="clear" w:color="auto" w:fill="FFFFFF"/>
            <w:noWrap w:val="0"/>
            <w:vAlign w:val="center"/>
          </w:tcPr>
          <w:p w14:paraId="44D04EE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千克</w:t>
            </w:r>
          </w:p>
        </w:tc>
        <w:tc>
          <w:tcPr>
            <w:tcW w:w="1410" w:type="dxa"/>
            <w:shd w:val="clear" w:color="auto" w:fill="FFFFFF"/>
            <w:noWrap w:val="0"/>
            <w:vAlign w:val="center"/>
          </w:tcPr>
          <w:p w14:paraId="02A13AC7">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120</w:t>
            </w:r>
          </w:p>
        </w:tc>
        <w:tc>
          <w:tcPr>
            <w:tcW w:w="1395" w:type="dxa"/>
            <w:shd w:val="clear" w:color="auto" w:fill="auto"/>
            <w:noWrap w:val="0"/>
            <w:vAlign w:val="center"/>
          </w:tcPr>
          <w:p w14:paraId="77184046">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21</w:t>
            </w:r>
          </w:p>
        </w:tc>
        <w:tc>
          <w:tcPr>
            <w:tcW w:w="1185" w:type="dxa"/>
            <w:shd w:val="clear" w:color="auto" w:fill="FFFFFF"/>
            <w:noWrap w:val="0"/>
            <w:vAlign w:val="center"/>
          </w:tcPr>
          <w:p w14:paraId="7144E34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kern w:val="2"/>
                <w:sz w:val="24"/>
                <w:szCs w:val="24"/>
                <w:lang w:val="en-US" w:eastAsia="zh-CN" w:bidi="ar-SA"/>
              </w:rPr>
            </w:pPr>
          </w:p>
        </w:tc>
      </w:tr>
      <w:tr w14:paraId="7A4F7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07" w:type="dxa"/>
            <w:shd w:val="clear" w:color="auto" w:fill="auto"/>
            <w:noWrap w:val="0"/>
            <w:vAlign w:val="center"/>
          </w:tcPr>
          <w:p w14:paraId="78D2687B">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w:t>
            </w:r>
          </w:p>
        </w:tc>
        <w:tc>
          <w:tcPr>
            <w:tcW w:w="2064" w:type="dxa"/>
            <w:shd w:val="clear" w:color="auto" w:fill="FFFFFF"/>
            <w:noWrap w:val="0"/>
            <w:vAlign w:val="center"/>
          </w:tcPr>
          <w:p w14:paraId="1952CB24">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药物性废物</w:t>
            </w:r>
          </w:p>
        </w:tc>
        <w:tc>
          <w:tcPr>
            <w:tcW w:w="1545" w:type="dxa"/>
            <w:shd w:val="clear" w:color="auto" w:fill="FFFFFF"/>
            <w:noWrap w:val="0"/>
            <w:vAlign w:val="center"/>
          </w:tcPr>
          <w:p w14:paraId="60A764D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千克</w:t>
            </w:r>
          </w:p>
        </w:tc>
        <w:tc>
          <w:tcPr>
            <w:tcW w:w="1410" w:type="dxa"/>
            <w:shd w:val="clear" w:color="auto" w:fill="FFFFFF"/>
            <w:noWrap w:val="0"/>
            <w:vAlign w:val="center"/>
          </w:tcPr>
          <w:p w14:paraId="44F9E102">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150</w:t>
            </w:r>
          </w:p>
        </w:tc>
        <w:tc>
          <w:tcPr>
            <w:tcW w:w="1395" w:type="dxa"/>
            <w:shd w:val="clear" w:color="auto" w:fill="auto"/>
            <w:noWrap w:val="0"/>
            <w:vAlign w:val="center"/>
          </w:tcPr>
          <w:p w14:paraId="6FBA8B5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0</w:t>
            </w:r>
          </w:p>
        </w:tc>
        <w:tc>
          <w:tcPr>
            <w:tcW w:w="1185" w:type="dxa"/>
            <w:shd w:val="clear" w:color="auto" w:fill="FFFFFF"/>
            <w:noWrap w:val="0"/>
            <w:vAlign w:val="center"/>
          </w:tcPr>
          <w:p w14:paraId="364E6DB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kern w:val="2"/>
                <w:sz w:val="24"/>
                <w:szCs w:val="24"/>
                <w:lang w:val="en-US" w:eastAsia="zh-CN" w:bidi="ar-SA"/>
              </w:rPr>
            </w:pPr>
          </w:p>
        </w:tc>
      </w:tr>
    </w:tbl>
    <w:p w14:paraId="2AE89240">
      <w:pPr>
        <w:pStyle w:val="3"/>
        <w:keepNext/>
        <w:keepLines/>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5D047111">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 xml:space="preserve">1投标人的医疗废物转运人员与医院医疗废物专职管理人员在转运联单上双签字，并在网上完成运输路线报备等一切程序后才能转运出医院。 </w:t>
      </w:r>
    </w:p>
    <w:p w14:paraId="0FE41684">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 xml:space="preserve">2转运时应用周转箱转运，保证医疗废物密封转运，不遗撒、泄露、不中途 取出、不倒卖。 </w:t>
      </w:r>
    </w:p>
    <w:p w14:paraId="204AB6B1">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3转运出医院的医疗废物由处置公司按照符合国家环保要求的方式进行处置。</w:t>
      </w:r>
    </w:p>
    <w:p w14:paraId="2A8083A0">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4.</w:t>
      </w:r>
      <w:r>
        <w:rPr>
          <w:rFonts w:hint="eastAsia" w:ascii="宋体" w:hAnsi="宋体" w:eastAsia="宋体" w:cs="Times New Roman"/>
          <w:color w:val="000000"/>
          <w:kern w:val="2"/>
          <w:sz w:val="24"/>
          <w:szCs w:val="24"/>
          <w:lang w:val="en-US" w:eastAsia="zh-CN" w:bidi="ar-SA"/>
        </w:rPr>
        <w:t xml:space="preserve">投标人应根据本项目采购需求编制医疗废物处置工作流程方案，内容包 含：①分类收集措施、②管理措施、③运送方案、④暂存处理方案、⑤登记制度、 ⑥卫生安全防护措施、⑦消毒培训计划。 </w:t>
      </w:r>
    </w:p>
    <w:p w14:paraId="22099827">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5.</w:t>
      </w:r>
      <w:r>
        <w:rPr>
          <w:rFonts w:hint="eastAsia" w:ascii="宋体" w:hAnsi="宋体" w:eastAsia="宋体" w:cs="Times New Roman"/>
          <w:color w:val="000000"/>
          <w:kern w:val="2"/>
          <w:sz w:val="24"/>
          <w:szCs w:val="24"/>
          <w:lang w:val="en-US" w:eastAsia="zh-CN" w:bidi="ar-SA"/>
        </w:rPr>
        <w:t>投标人应根据本项目采购需求编制应急预案方案，内容包含：①防医疗废 物流失、②防医疗废物泄露、③防医疗废物扩散、 ④交通意外事故、⑤紧急事件处理流程和上报制度。</w:t>
      </w:r>
    </w:p>
    <w:p w14:paraId="26BCEE2C">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cs="Times New Roman"/>
          <w:b/>
          <w:bCs/>
          <w:color w:val="auto"/>
          <w:kern w:val="2"/>
          <w:sz w:val="24"/>
          <w:szCs w:val="24"/>
          <w:lang w:val="en-US" w:eastAsia="zh-CN" w:bidi="ar-SA"/>
        </w:rPr>
        <w:t>四、</w:t>
      </w:r>
      <w:r>
        <w:rPr>
          <w:rFonts w:hint="eastAsia" w:ascii="Times New Roman" w:hAnsi="Times New Roman" w:eastAsia="宋体" w:cs="Times New Roman"/>
          <w:b/>
          <w:bCs/>
          <w:color w:val="auto"/>
          <w:kern w:val="2"/>
          <w:sz w:val="24"/>
          <w:szCs w:val="24"/>
          <w:lang w:val="en-US" w:eastAsia="zh-CN" w:bidi="ar-SA"/>
        </w:rPr>
        <w:t>服务要求</w:t>
      </w:r>
    </w:p>
    <w:p w14:paraId="690CC5A0">
      <w:pPr>
        <w:pStyle w:val="4"/>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eastAsia"/>
        </w:rPr>
      </w:pPr>
      <w:r>
        <w:rPr>
          <w:rFonts w:hint="eastAsia"/>
          <w:lang w:val="en-US" w:eastAsia="zh-CN"/>
        </w:rPr>
        <w:t>1</w:t>
      </w:r>
      <w:r>
        <w:rPr>
          <w:rFonts w:hint="eastAsia"/>
        </w:rPr>
        <w:t xml:space="preserve">.投标人应根据本项目采购需求编制医疗废物处置工作流程方案，内容包 含：①分类收集措施、②管理措施、③运送方案、④暂存处理方案、⑤登记制度、 ⑥卫生安全防护措施、⑦消毒培训计划。 </w:t>
      </w:r>
    </w:p>
    <w:p w14:paraId="1E2B2864">
      <w:pPr>
        <w:pStyle w:val="4"/>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default" w:ascii="宋体" w:hAnsi="宋体" w:eastAsia="宋体" w:cs="Times New Roman"/>
          <w:color w:val="000000"/>
          <w:kern w:val="2"/>
          <w:sz w:val="24"/>
          <w:szCs w:val="24"/>
          <w:lang w:val="en-US" w:eastAsia="zh-CN" w:bidi="ar-SA"/>
        </w:rPr>
      </w:pPr>
      <w:r>
        <w:rPr>
          <w:rFonts w:hint="eastAsia"/>
          <w:lang w:val="en-US" w:eastAsia="zh-CN"/>
        </w:rPr>
        <w:t>2</w:t>
      </w:r>
      <w:r>
        <w:rPr>
          <w:rFonts w:hint="eastAsia"/>
        </w:rPr>
        <w:t>.投标人应根据本项目采购需求编制应急预案方案，内容包含：①防医疗废 物流失、②防医疗废物泄露、③防医疗废物扩散、 ④交通意外事故、⑤紧急事件处理流程和上报制度。</w:t>
      </w:r>
    </w:p>
    <w:p w14:paraId="3FA1F878">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cs="Times New Roman"/>
          <w:b/>
          <w:bCs/>
          <w:color w:val="auto"/>
          <w:kern w:val="2"/>
          <w:sz w:val="24"/>
          <w:szCs w:val="24"/>
          <w:lang w:val="en-US" w:eastAsia="zh-CN" w:bidi="ar-SA"/>
        </w:rPr>
        <w:t>五、</w:t>
      </w:r>
      <w:r>
        <w:rPr>
          <w:rFonts w:hint="eastAsia" w:ascii="Times New Roman" w:hAnsi="Times New Roman" w:eastAsia="宋体" w:cs="Times New Roman"/>
          <w:b/>
          <w:bCs/>
          <w:color w:val="auto"/>
          <w:kern w:val="2"/>
          <w:sz w:val="24"/>
          <w:szCs w:val="24"/>
          <w:lang w:val="en-US" w:eastAsia="zh-CN" w:bidi="ar-SA"/>
        </w:rPr>
        <w:t>采购合同内容条款要求</w:t>
      </w:r>
    </w:p>
    <w:p w14:paraId="77997CDF">
      <w:pPr>
        <w:pStyle w:val="4"/>
        <w:ind w:left="479" w:leftChars="228"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时间：合同签订后</w:t>
      </w:r>
      <w:r>
        <w:rPr>
          <w:rFonts w:hint="eastAsia" w:cs="宋体"/>
          <w:color w:val="auto"/>
          <w:sz w:val="24"/>
          <w:szCs w:val="24"/>
          <w:lang w:val="en-US" w:eastAsia="zh-CN"/>
        </w:rPr>
        <w:t>7个工作</w:t>
      </w:r>
      <w:r>
        <w:rPr>
          <w:rFonts w:hint="eastAsia" w:ascii="宋体" w:hAnsi="宋体" w:eastAsia="宋体" w:cs="宋体"/>
          <w:color w:val="auto"/>
          <w:sz w:val="24"/>
          <w:szCs w:val="24"/>
          <w:lang w:val="en-US" w:eastAsia="zh-CN"/>
        </w:rPr>
        <w:t>日</w:t>
      </w:r>
      <w:r>
        <w:rPr>
          <w:rFonts w:hint="eastAsia" w:cs="宋体"/>
          <w:color w:val="auto"/>
          <w:sz w:val="24"/>
          <w:szCs w:val="24"/>
          <w:lang w:val="en-US" w:eastAsia="zh-CN"/>
        </w:rPr>
        <w:t>内完成</w:t>
      </w:r>
      <w:r>
        <w:rPr>
          <w:rFonts w:hint="eastAsia" w:ascii="宋体" w:hAnsi="宋体" w:eastAsia="宋体" w:cs="宋体"/>
          <w:color w:val="auto"/>
          <w:sz w:val="24"/>
          <w:szCs w:val="24"/>
          <w:lang w:val="en-US" w:eastAsia="zh-CN"/>
        </w:rPr>
        <w:t>。</w:t>
      </w:r>
    </w:p>
    <w:p w14:paraId="394C4837">
      <w:pPr>
        <w:pStyle w:val="4"/>
        <w:ind w:left="479" w:leftChars="228" w:firstLine="0" w:firstLineChars="0"/>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11FEC2D4">
      <w:pPr>
        <w:pStyle w:val="4"/>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3.验收标准：必须与投标文件应答的配置和服务要求一致。</w:t>
      </w:r>
    </w:p>
    <w:p w14:paraId="7E360BF1">
      <w:pPr>
        <w:pStyle w:val="4"/>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w:t>
      </w:r>
      <w:r>
        <w:rPr>
          <w:rFonts w:hint="eastAsia" w:ascii="宋体" w:hAnsi="宋体" w:eastAsia="宋体" w:cs="宋体"/>
          <w:color w:val="auto"/>
          <w:kern w:val="2"/>
          <w:sz w:val="24"/>
          <w:szCs w:val="24"/>
          <w:lang w:val="en-US" w:eastAsia="zh-CN" w:bidi="ar-SA"/>
        </w:rPr>
        <w:t>合同签订以单价为准</w:t>
      </w:r>
      <w:r>
        <w:rPr>
          <w:rFonts w:hint="eastAsia" w:ascii="宋体" w:hAnsi="宋体"/>
          <w:spacing w:val="-8"/>
          <w:sz w:val="24"/>
          <w:lang w:eastAsia="zh-CN"/>
        </w:rPr>
        <w:t>。</w:t>
      </w:r>
      <w:r>
        <w:rPr>
          <w:rFonts w:hint="eastAsia" w:ascii="宋体" w:hAnsi="宋体" w:eastAsia="宋体" w:cs="宋体"/>
          <w:color w:val="auto"/>
          <w:sz w:val="24"/>
          <w:lang w:val="en-US" w:eastAsia="zh-CN"/>
        </w:rPr>
        <w:t>验收完成且收到正式发票后，达到付款条件起</w:t>
      </w:r>
      <w:r>
        <w:rPr>
          <w:rFonts w:hint="eastAsia" w:cs="宋体"/>
          <w:color w:val="auto"/>
          <w:sz w:val="24"/>
          <w:lang w:val="en-US" w:eastAsia="zh-CN"/>
        </w:rPr>
        <w:t>60</w:t>
      </w:r>
      <w:r>
        <w:rPr>
          <w:rFonts w:hint="eastAsia" w:ascii="宋体" w:hAnsi="宋体" w:eastAsia="宋体" w:cs="宋体"/>
          <w:color w:val="auto"/>
          <w:sz w:val="24"/>
          <w:lang w:val="en-US" w:eastAsia="zh-CN"/>
        </w:rPr>
        <w:t>日内，支付合同总金额的</w:t>
      </w:r>
      <w:r>
        <w:rPr>
          <w:rFonts w:hint="eastAsia" w:cs="宋体"/>
          <w:color w:val="auto"/>
          <w:sz w:val="24"/>
          <w:lang w:val="en-US" w:eastAsia="zh-CN"/>
        </w:rPr>
        <w:t>100</w:t>
      </w:r>
      <w:r>
        <w:rPr>
          <w:rFonts w:hint="eastAsia" w:ascii="宋体" w:hAnsi="宋体" w:eastAsia="宋体" w:cs="宋体"/>
          <w:color w:val="auto"/>
          <w:sz w:val="24"/>
          <w:lang w:val="en-US" w:eastAsia="zh-CN"/>
        </w:rPr>
        <w:t>%。</w:t>
      </w:r>
    </w:p>
    <w:p w14:paraId="2F1A68A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六、</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4"/>
        <w:numPr>
          <w:ilvl w:val="0"/>
          <w:numId w:val="0"/>
        </w:numPr>
        <w:ind w:firstLine="480" w:firstLineChars="200"/>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2C19F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sz w:val="24"/>
          <w:szCs w:val="24"/>
        </w:rPr>
      </w:pPr>
    </w:p>
    <w:p w14:paraId="45E475FB">
      <w:pPr>
        <w:pStyle w:val="14"/>
        <w:rPr>
          <w:rFonts w:hint="eastAsia"/>
        </w:rPr>
      </w:pPr>
    </w:p>
    <w:p w14:paraId="78205F60">
      <w:pPr>
        <w:pStyle w:val="14"/>
        <w:rPr>
          <w:rFonts w:hint="eastAsia" w:ascii="黑体" w:hAnsi="宋体" w:eastAsia="黑体"/>
          <w:b/>
          <w:bCs/>
          <w:sz w:val="32"/>
          <w:szCs w:val="32"/>
        </w:rPr>
      </w:pPr>
    </w:p>
    <w:p w14:paraId="0F005E84">
      <w:pPr>
        <w:pStyle w:val="14"/>
        <w:rPr>
          <w:rFonts w:hint="eastAsia" w:ascii="黑体" w:hAnsi="宋体" w:eastAsia="黑体"/>
          <w:b/>
          <w:bCs/>
          <w:sz w:val="32"/>
          <w:szCs w:val="32"/>
        </w:rPr>
      </w:pPr>
    </w:p>
    <w:p w14:paraId="7BB6F5EC">
      <w:pPr>
        <w:pStyle w:val="14"/>
        <w:rPr>
          <w:rFonts w:hint="eastAsia" w:ascii="黑体" w:hAnsi="宋体" w:eastAsia="黑体"/>
          <w:b/>
          <w:bCs/>
          <w:sz w:val="32"/>
          <w:szCs w:val="32"/>
        </w:rPr>
      </w:pPr>
    </w:p>
    <w:p w14:paraId="3C843199">
      <w:pPr>
        <w:pStyle w:val="14"/>
        <w:rPr>
          <w:rFonts w:hint="eastAsia" w:ascii="黑体" w:hAnsi="宋体" w:eastAsia="黑体"/>
          <w:b/>
          <w:bCs/>
          <w:sz w:val="32"/>
          <w:szCs w:val="32"/>
        </w:rPr>
      </w:pPr>
    </w:p>
    <w:p w14:paraId="4F633CF5">
      <w:pPr>
        <w:pStyle w:val="14"/>
        <w:rPr>
          <w:rFonts w:hint="eastAsia" w:ascii="黑体" w:hAnsi="宋体" w:eastAsia="黑体"/>
          <w:b/>
          <w:bCs/>
          <w:sz w:val="32"/>
          <w:szCs w:val="32"/>
        </w:rPr>
      </w:pPr>
    </w:p>
    <w:p w14:paraId="3DF63C09">
      <w:pPr>
        <w:pStyle w:val="14"/>
        <w:rPr>
          <w:rFonts w:hint="eastAsia" w:ascii="黑体" w:hAnsi="宋体" w:eastAsia="黑体"/>
          <w:b/>
          <w:bCs/>
          <w:sz w:val="32"/>
          <w:szCs w:val="32"/>
        </w:rPr>
      </w:pPr>
    </w:p>
    <w:p w14:paraId="2BA42DF9">
      <w:pPr>
        <w:pStyle w:val="14"/>
        <w:rPr>
          <w:rFonts w:hint="eastAsia" w:ascii="黑体" w:hAnsi="宋体" w:eastAsia="黑体"/>
          <w:b/>
          <w:bCs/>
          <w:sz w:val="32"/>
          <w:szCs w:val="32"/>
        </w:rPr>
      </w:pPr>
    </w:p>
    <w:p w14:paraId="0DE5246D">
      <w:pPr>
        <w:pStyle w:val="14"/>
        <w:rPr>
          <w:rFonts w:hint="eastAsia" w:ascii="黑体" w:hAnsi="宋体" w:eastAsia="黑体"/>
          <w:b/>
          <w:bCs/>
          <w:sz w:val="32"/>
          <w:szCs w:val="32"/>
        </w:rPr>
      </w:pPr>
    </w:p>
    <w:p w14:paraId="0F13AC32">
      <w:pPr>
        <w:pStyle w:val="14"/>
        <w:rPr>
          <w:rFonts w:hint="eastAsia" w:ascii="黑体" w:hAnsi="宋体" w:eastAsia="黑体"/>
          <w:b/>
          <w:bCs/>
          <w:sz w:val="32"/>
          <w:szCs w:val="32"/>
        </w:rPr>
      </w:pPr>
    </w:p>
    <w:p w14:paraId="18E28032">
      <w:pPr>
        <w:pStyle w:val="14"/>
        <w:rPr>
          <w:rFonts w:hint="eastAsia" w:ascii="黑体" w:hAnsi="宋体" w:eastAsia="黑体"/>
          <w:b/>
          <w:bCs/>
          <w:sz w:val="32"/>
          <w:szCs w:val="32"/>
        </w:rPr>
      </w:pPr>
    </w:p>
    <w:p w14:paraId="08E58547">
      <w:pPr>
        <w:pStyle w:val="14"/>
        <w:rPr>
          <w:rFonts w:hint="eastAsia" w:ascii="黑体" w:hAnsi="宋体" w:eastAsia="黑体"/>
          <w:b/>
          <w:bCs/>
          <w:sz w:val="32"/>
          <w:szCs w:val="32"/>
        </w:rPr>
      </w:pPr>
    </w:p>
    <w:p w14:paraId="3F781B90">
      <w:pPr>
        <w:pStyle w:val="14"/>
        <w:rPr>
          <w:rFonts w:hint="eastAsia" w:ascii="黑体" w:hAnsi="宋体" w:eastAsia="黑体"/>
          <w:b/>
          <w:bCs/>
          <w:sz w:val="32"/>
          <w:szCs w:val="32"/>
        </w:rPr>
      </w:pPr>
    </w:p>
    <w:p w14:paraId="1B68D0E6">
      <w:pPr>
        <w:pStyle w:val="14"/>
        <w:rPr>
          <w:rFonts w:hint="eastAsia" w:ascii="黑体" w:hAnsi="宋体" w:eastAsia="黑体"/>
          <w:b/>
          <w:bCs/>
          <w:sz w:val="32"/>
          <w:szCs w:val="32"/>
        </w:rPr>
      </w:pPr>
    </w:p>
    <w:p w14:paraId="7B56BA84">
      <w:pPr>
        <w:pStyle w:val="14"/>
        <w:rPr>
          <w:rFonts w:hint="eastAsia" w:ascii="黑体" w:hAnsi="宋体" w:eastAsia="黑体"/>
          <w:b/>
          <w:bCs/>
          <w:sz w:val="32"/>
          <w:szCs w:val="32"/>
        </w:rPr>
      </w:pPr>
    </w:p>
    <w:p w14:paraId="37C51007">
      <w:pPr>
        <w:pStyle w:val="14"/>
        <w:rPr>
          <w:rFonts w:hint="eastAsia" w:ascii="黑体" w:hAnsi="宋体" w:eastAsia="黑体"/>
          <w:b/>
          <w:bCs/>
          <w:sz w:val="32"/>
          <w:szCs w:val="32"/>
        </w:rPr>
      </w:pPr>
    </w:p>
    <w:p w14:paraId="2A124FEB">
      <w:pPr>
        <w:pStyle w:val="14"/>
        <w:rPr>
          <w:rFonts w:hint="eastAsia" w:ascii="黑体" w:hAnsi="宋体" w:eastAsia="黑体"/>
          <w:b/>
          <w:bCs/>
          <w:sz w:val="32"/>
          <w:szCs w:val="32"/>
        </w:rPr>
      </w:pPr>
    </w:p>
    <w:p w14:paraId="4495F156">
      <w:pPr>
        <w:pStyle w:val="14"/>
        <w:rPr>
          <w:rFonts w:hint="eastAsia" w:ascii="黑体" w:hAnsi="宋体" w:eastAsia="黑体"/>
          <w:b/>
          <w:bCs/>
          <w:sz w:val="32"/>
          <w:szCs w:val="32"/>
        </w:rPr>
      </w:pPr>
    </w:p>
    <w:p w14:paraId="30A15B9E">
      <w:pPr>
        <w:pStyle w:val="14"/>
        <w:rPr>
          <w:rFonts w:hint="eastAsia" w:ascii="黑体" w:hAnsi="宋体" w:eastAsia="黑体"/>
          <w:b/>
          <w:bCs/>
          <w:sz w:val="32"/>
          <w:szCs w:val="32"/>
        </w:rPr>
      </w:pPr>
    </w:p>
    <w:p w14:paraId="448399E5">
      <w:pPr>
        <w:pStyle w:val="14"/>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6"/>
        <w:rPr>
          <w:rFonts w:hint="eastAsia"/>
          <w:b/>
          <w:sz w:val="32"/>
          <w:szCs w:val="32"/>
        </w:rPr>
      </w:pPr>
    </w:p>
    <w:p w14:paraId="6FEF4D50">
      <w:pPr>
        <w:pStyle w:val="14"/>
        <w:rPr>
          <w:rFonts w:hint="eastAsia"/>
          <w:b/>
          <w:sz w:val="32"/>
          <w:szCs w:val="32"/>
        </w:rPr>
      </w:pPr>
    </w:p>
    <w:p w14:paraId="3E2BAE9F">
      <w:pPr>
        <w:pStyle w:val="14"/>
        <w:rPr>
          <w:rFonts w:hint="eastAsia"/>
          <w:b/>
          <w:sz w:val="32"/>
          <w:szCs w:val="32"/>
        </w:rPr>
      </w:pPr>
    </w:p>
    <w:p w14:paraId="31CC1F9B">
      <w:pPr>
        <w:pStyle w:val="14"/>
        <w:rPr>
          <w:rFonts w:hint="eastAsia"/>
          <w:b/>
          <w:sz w:val="32"/>
          <w:szCs w:val="32"/>
        </w:rPr>
      </w:pPr>
    </w:p>
    <w:p w14:paraId="66F4DD6C">
      <w:pPr>
        <w:pStyle w:val="14"/>
        <w:rPr>
          <w:rFonts w:hint="eastAsia"/>
          <w:b/>
          <w:sz w:val="32"/>
          <w:szCs w:val="32"/>
        </w:rPr>
      </w:pPr>
    </w:p>
    <w:p w14:paraId="1F7476C0">
      <w:pPr>
        <w:pStyle w:val="14"/>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6"/>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6"/>
        <w:rPr>
          <w:rFonts w:hint="eastAsia"/>
          <w:b/>
          <w:sz w:val="32"/>
          <w:szCs w:val="32"/>
        </w:rPr>
      </w:pPr>
    </w:p>
    <w:p w14:paraId="05FC895E">
      <w:pPr>
        <w:pStyle w:val="14"/>
        <w:rPr>
          <w:rFonts w:hint="eastAsia"/>
          <w:b/>
          <w:sz w:val="32"/>
          <w:szCs w:val="32"/>
        </w:rPr>
      </w:pPr>
    </w:p>
    <w:p w14:paraId="4573D810">
      <w:pPr>
        <w:pStyle w:val="14"/>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516"/>
        <w:gridCol w:w="1177"/>
        <w:gridCol w:w="1373"/>
        <w:gridCol w:w="1260"/>
        <w:gridCol w:w="1425"/>
        <w:gridCol w:w="1304"/>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516"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177" w:type="dxa"/>
            <w:shd w:val="clear" w:color="auto" w:fill="auto"/>
            <w:noWrap w:val="0"/>
            <w:vAlign w:val="center"/>
          </w:tcPr>
          <w:p w14:paraId="271EB8A6">
            <w:pPr>
              <w:jc w:val="center"/>
              <w:rPr>
                <w:rFonts w:hint="eastAsia" w:ascii="宋体" w:hAnsi="宋体" w:eastAsia="宋体" w:cs="宋体"/>
                <w:kern w:val="2"/>
                <w:sz w:val="24"/>
                <w:szCs w:val="24"/>
                <w:lang w:val="en-US" w:eastAsia="zh-CN" w:bidi="ar-SA"/>
              </w:rPr>
            </w:pPr>
            <w:r>
              <w:rPr>
                <w:rFonts w:hint="eastAsia" w:ascii="宋体" w:hAnsi="宋体" w:cs="宋体"/>
                <w:sz w:val="24"/>
              </w:rPr>
              <w:t>数量</w:t>
            </w:r>
          </w:p>
        </w:tc>
        <w:tc>
          <w:tcPr>
            <w:tcW w:w="1373" w:type="dxa"/>
            <w:shd w:val="clear" w:color="auto" w:fill="auto"/>
            <w:noWrap w:val="0"/>
            <w:vAlign w:val="center"/>
          </w:tcPr>
          <w:p w14:paraId="34C25F65">
            <w:pPr>
              <w:jc w:val="center"/>
              <w:rPr>
                <w:rFonts w:hint="eastAsia" w:ascii="宋体" w:hAnsi="宋体" w:eastAsia="宋体" w:cs="宋体"/>
                <w:kern w:val="2"/>
                <w:sz w:val="24"/>
                <w:szCs w:val="24"/>
                <w:lang w:val="en-US" w:eastAsia="zh-CN" w:bidi="ar-SA"/>
              </w:rPr>
            </w:pPr>
            <w:r>
              <w:rPr>
                <w:rFonts w:hint="eastAsia" w:ascii="宋体" w:hAnsi="宋体" w:cs="宋体"/>
                <w:sz w:val="24"/>
              </w:rPr>
              <w:t>单位</w:t>
            </w:r>
          </w:p>
        </w:tc>
        <w:tc>
          <w:tcPr>
            <w:tcW w:w="1260" w:type="dxa"/>
            <w:shd w:val="clear" w:color="auto" w:fill="auto"/>
            <w:noWrap w:val="0"/>
            <w:vAlign w:val="center"/>
          </w:tcPr>
          <w:p w14:paraId="06D0381C">
            <w:pPr>
              <w:jc w:val="center"/>
              <w:rPr>
                <w:rFonts w:hint="eastAsia" w:ascii="宋体" w:hAnsi="宋体" w:eastAsia="宋体" w:cs="宋体"/>
                <w:kern w:val="2"/>
                <w:sz w:val="24"/>
                <w:szCs w:val="24"/>
                <w:lang w:val="en-US" w:eastAsia="zh-CN" w:bidi="ar-SA"/>
              </w:rPr>
            </w:pPr>
            <w:r>
              <w:rPr>
                <w:rFonts w:hint="eastAsia" w:ascii="宋体" w:hAnsi="宋体" w:cs="宋体"/>
                <w:sz w:val="24"/>
              </w:rPr>
              <w:t>单价（元）</w:t>
            </w:r>
          </w:p>
        </w:tc>
        <w:tc>
          <w:tcPr>
            <w:tcW w:w="1425" w:type="dxa"/>
            <w:shd w:val="clear" w:color="auto" w:fill="auto"/>
            <w:noWrap w:val="0"/>
            <w:vAlign w:val="center"/>
          </w:tcPr>
          <w:p w14:paraId="6E168069">
            <w:pPr>
              <w:jc w:val="left"/>
              <w:rPr>
                <w:rFonts w:hint="eastAsia" w:ascii="宋体" w:hAnsi="宋体" w:eastAsia="宋体" w:cs="宋体"/>
                <w:kern w:val="2"/>
                <w:sz w:val="24"/>
                <w:szCs w:val="24"/>
                <w:lang w:val="en-US" w:eastAsia="zh-CN" w:bidi="ar-SA"/>
              </w:rPr>
            </w:pPr>
            <w:r>
              <w:rPr>
                <w:rFonts w:hint="eastAsia" w:ascii="宋体" w:hAnsi="宋体" w:cs="宋体"/>
                <w:sz w:val="24"/>
                <w:lang w:val="en-US" w:eastAsia="zh-CN"/>
              </w:rPr>
              <w:t>金额</w:t>
            </w:r>
            <w:r>
              <w:rPr>
                <w:rFonts w:hint="eastAsia" w:ascii="宋体" w:hAnsi="宋体" w:cs="宋体"/>
                <w:sz w:val="24"/>
              </w:rPr>
              <w:t>（元）</w:t>
            </w:r>
          </w:p>
        </w:tc>
        <w:tc>
          <w:tcPr>
            <w:tcW w:w="1304" w:type="dxa"/>
            <w:shd w:val="clear" w:color="auto" w:fill="auto"/>
            <w:noWrap w:val="0"/>
            <w:vAlign w:val="center"/>
          </w:tcPr>
          <w:p w14:paraId="4F20DCA7">
            <w:pPr>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1516" w:type="dxa"/>
            <w:shd w:val="clear" w:color="auto" w:fill="FFFFFF"/>
            <w:noWrap w:val="0"/>
            <w:vAlign w:val="center"/>
          </w:tcPr>
          <w:p w14:paraId="666E456F">
            <w:pPr>
              <w:jc w:val="center"/>
              <w:rPr>
                <w:rFonts w:hint="eastAsia" w:ascii="宋体" w:hAnsi="宋体" w:eastAsia="宋体" w:cs="宋体"/>
                <w:b w:val="0"/>
                <w:bCs w:val="0"/>
                <w:color w:val="000000" w:themeColor="text1"/>
                <w:kern w:val="2"/>
                <w:sz w:val="28"/>
                <w:szCs w:val="28"/>
                <w:vertAlign w:val="baseline"/>
                <w:lang w:val="en-US" w:eastAsia="zh-CN" w:bidi="ar-SA"/>
                <w14:textFill>
                  <w14:solidFill>
                    <w14:schemeClr w14:val="tx1"/>
                  </w14:solidFill>
                </w14:textFill>
              </w:rPr>
            </w:pPr>
            <w:r>
              <w:rPr>
                <w:rFonts w:hint="eastAsia" w:ascii="宋体" w:hAnsi="宋体" w:cs="宋体"/>
                <w:color w:val="000000" w:themeColor="text1"/>
                <w:kern w:val="0"/>
                <w:sz w:val="28"/>
                <w:szCs w:val="28"/>
                <w:u w:val="none"/>
                <w:lang w:val="en-US" w:eastAsia="zh-CN"/>
                <w14:textFill>
                  <w14:solidFill>
                    <w14:schemeClr w14:val="tx1"/>
                  </w14:solidFill>
                </w14:textFill>
              </w:rPr>
              <w:t>淤泥</w:t>
            </w:r>
          </w:p>
        </w:tc>
        <w:tc>
          <w:tcPr>
            <w:tcW w:w="1177" w:type="dxa"/>
            <w:shd w:val="clear" w:color="auto" w:fill="auto"/>
            <w:noWrap w:val="0"/>
            <w:vAlign w:val="center"/>
          </w:tcPr>
          <w:p w14:paraId="5790E83F">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cs="宋体"/>
                <w:b w:val="0"/>
                <w:bCs w:val="0"/>
                <w:color w:val="000000" w:themeColor="text1"/>
                <w:sz w:val="28"/>
                <w:szCs w:val="28"/>
                <w:vertAlign w:val="baseline"/>
                <w:lang w:val="en-US" w:eastAsia="zh-CN"/>
                <w14:textFill>
                  <w14:solidFill>
                    <w14:schemeClr w14:val="tx1"/>
                  </w14:solidFill>
                </w14:textFill>
              </w:rPr>
              <w:t>1200</w:t>
            </w:r>
          </w:p>
        </w:tc>
        <w:tc>
          <w:tcPr>
            <w:tcW w:w="1373" w:type="dxa"/>
            <w:shd w:val="clear" w:color="auto" w:fill="auto"/>
            <w:noWrap w:val="0"/>
            <w:vAlign w:val="center"/>
          </w:tcPr>
          <w:p w14:paraId="019716E9">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cs="宋体"/>
                <w:b w:val="0"/>
                <w:bCs w:val="0"/>
                <w:color w:val="000000" w:themeColor="text1"/>
                <w:sz w:val="28"/>
                <w:szCs w:val="28"/>
                <w:vertAlign w:val="baseline"/>
                <w:lang w:val="en-US" w:eastAsia="zh-CN"/>
                <w14:textFill>
                  <w14:solidFill>
                    <w14:schemeClr w14:val="tx1"/>
                  </w14:solidFill>
                </w14:textFill>
              </w:rPr>
              <w:t>千克</w:t>
            </w:r>
          </w:p>
        </w:tc>
        <w:tc>
          <w:tcPr>
            <w:tcW w:w="1260" w:type="dxa"/>
            <w:noWrap w:val="0"/>
            <w:vAlign w:val="center"/>
          </w:tcPr>
          <w:p w14:paraId="70AC489F">
            <w:pPr>
              <w:keepNext w:val="0"/>
              <w:keepLines w:val="0"/>
              <w:widowControl/>
              <w:suppressLineNumbers w:val="0"/>
              <w:jc w:val="center"/>
              <w:textAlignment w:val="center"/>
              <w:rPr>
                <w:rFonts w:hint="eastAsia" w:ascii="宋体" w:hAnsi="宋体" w:cs="宋体"/>
                <w:sz w:val="24"/>
              </w:rPr>
            </w:pPr>
          </w:p>
        </w:tc>
        <w:tc>
          <w:tcPr>
            <w:tcW w:w="1425" w:type="dxa"/>
            <w:noWrap w:val="0"/>
            <w:vAlign w:val="top"/>
          </w:tcPr>
          <w:p w14:paraId="075AA239">
            <w:pPr>
              <w:jc w:val="center"/>
              <w:rPr>
                <w:rFonts w:hint="eastAsia" w:ascii="宋体" w:hAnsi="宋体" w:cs="宋体"/>
                <w:sz w:val="24"/>
              </w:rPr>
            </w:pPr>
          </w:p>
        </w:tc>
        <w:tc>
          <w:tcPr>
            <w:tcW w:w="1304" w:type="dxa"/>
            <w:noWrap w:val="0"/>
            <w:vAlign w:val="top"/>
          </w:tcPr>
          <w:p w14:paraId="2CE54495">
            <w:pPr>
              <w:jc w:val="center"/>
              <w:rPr>
                <w:rFonts w:hint="default" w:ascii="宋体" w:hAnsi="宋体" w:cs="宋体"/>
                <w:sz w:val="24"/>
                <w:lang w:val="en-US"/>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jc w:val="center"/>
              <w:rPr>
                <w:rFonts w:hint="eastAsia" w:ascii="宋体" w:hAnsi="宋体" w:eastAsia="宋体" w:cs="宋体"/>
                <w:sz w:val="24"/>
                <w:lang w:val="en-US" w:eastAsia="zh-CN"/>
              </w:rPr>
            </w:pPr>
            <w:r>
              <w:rPr>
                <w:rFonts w:hint="eastAsia" w:ascii="宋体" w:hAnsi="宋体" w:cs="宋体"/>
                <w:sz w:val="24"/>
                <w:lang w:val="en-US" w:eastAsia="zh-CN"/>
              </w:rPr>
              <w:t>2</w:t>
            </w:r>
          </w:p>
        </w:tc>
        <w:tc>
          <w:tcPr>
            <w:tcW w:w="1516" w:type="dxa"/>
            <w:shd w:val="clear" w:color="auto" w:fill="FFFFFF"/>
            <w:noWrap w:val="0"/>
            <w:vAlign w:val="center"/>
          </w:tcPr>
          <w:p w14:paraId="51C40E55">
            <w:pPr>
              <w:jc w:val="center"/>
              <w:rPr>
                <w:rFonts w:hint="eastAsia" w:ascii="宋体" w:hAnsi="宋体" w:eastAsia="宋体" w:cs="宋体"/>
                <w:color w:val="000000" w:themeColor="text1"/>
                <w:kern w:val="0"/>
                <w:sz w:val="28"/>
                <w:szCs w:val="28"/>
                <w:u w:val="none"/>
                <w:lang w:val="en-US" w:eastAsia="zh-CN" w:bidi="ar-SA"/>
                <w14:textFill>
                  <w14:solidFill>
                    <w14:schemeClr w14:val="tx1"/>
                  </w14:solidFill>
                </w14:textFill>
              </w:rPr>
            </w:pPr>
            <w:r>
              <w:rPr>
                <w:rFonts w:hint="eastAsia" w:ascii="宋体" w:hAnsi="宋体" w:cs="宋体"/>
                <w:color w:val="000000" w:themeColor="text1"/>
                <w:kern w:val="0"/>
                <w:sz w:val="28"/>
                <w:szCs w:val="28"/>
                <w:u w:val="none"/>
                <w:lang w:val="en-US" w:eastAsia="zh-CN"/>
                <w14:textFill>
                  <w14:solidFill>
                    <w14:schemeClr w14:val="tx1"/>
                  </w14:solidFill>
                </w14:textFill>
              </w:rPr>
              <w:t>化学性废物</w:t>
            </w:r>
          </w:p>
        </w:tc>
        <w:tc>
          <w:tcPr>
            <w:tcW w:w="1177" w:type="dxa"/>
            <w:shd w:val="clear" w:color="auto" w:fill="auto"/>
            <w:noWrap w:val="0"/>
            <w:vAlign w:val="center"/>
          </w:tcPr>
          <w:p w14:paraId="19AFD5A5">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cs="宋体"/>
                <w:b w:val="0"/>
                <w:bCs w:val="0"/>
                <w:color w:val="000000" w:themeColor="text1"/>
                <w:sz w:val="28"/>
                <w:szCs w:val="28"/>
                <w:vertAlign w:val="baseline"/>
                <w:lang w:val="en-US" w:eastAsia="zh-CN"/>
                <w14:textFill>
                  <w14:solidFill>
                    <w14:schemeClr w14:val="tx1"/>
                  </w14:solidFill>
                </w14:textFill>
              </w:rPr>
              <w:t>120</w:t>
            </w:r>
          </w:p>
        </w:tc>
        <w:tc>
          <w:tcPr>
            <w:tcW w:w="1373" w:type="dxa"/>
            <w:shd w:val="clear" w:color="auto" w:fill="auto"/>
            <w:noWrap w:val="0"/>
            <w:vAlign w:val="center"/>
          </w:tcPr>
          <w:p w14:paraId="41F6162C">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cs="宋体"/>
                <w:b w:val="0"/>
                <w:bCs w:val="0"/>
                <w:color w:val="000000" w:themeColor="text1"/>
                <w:sz w:val="28"/>
                <w:szCs w:val="28"/>
                <w:vertAlign w:val="baseline"/>
                <w:lang w:val="en-US" w:eastAsia="zh-CN"/>
                <w14:textFill>
                  <w14:solidFill>
                    <w14:schemeClr w14:val="tx1"/>
                  </w14:solidFill>
                </w14:textFill>
              </w:rPr>
              <w:t>千克</w:t>
            </w:r>
          </w:p>
        </w:tc>
        <w:tc>
          <w:tcPr>
            <w:tcW w:w="1260" w:type="dxa"/>
            <w:noWrap w:val="0"/>
            <w:vAlign w:val="center"/>
          </w:tcPr>
          <w:p w14:paraId="2AFA331D">
            <w:pPr>
              <w:keepNext w:val="0"/>
              <w:keepLines w:val="0"/>
              <w:widowControl/>
              <w:suppressLineNumbers w:val="0"/>
              <w:jc w:val="center"/>
              <w:textAlignment w:val="center"/>
              <w:rPr>
                <w:rFonts w:hint="eastAsia" w:ascii="宋体" w:hAnsi="宋体" w:cs="宋体"/>
                <w:sz w:val="24"/>
              </w:rPr>
            </w:pPr>
          </w:p>
        </w:tc>
        <w:tc>
          <w:tcPr>
            <w:tcW w:w="1425" w:type="dxa"/>
            <w:noWrap w:val="0"/>
            <w:vAlign w:val="top"/>
          </w:tcPr>
          <w:p w14:paraId="7D8185DC">
            <w:pPr>
              <w:jc w:val="center"/>
              <w:rPr>
                <w:rFonts w:hint="eastAsia" w:ascii="宋体" w:hAnsi="宋体" w:cs="宋体"/>
                <w:sz w:val="24"/>
              </w:rPr>
            </w:pPr>
          </w:p>
        </w:tc>
        <w:tc>
          <w:tcPr>
            <w:tcW w:w="1304" w:type="dxa"/>
            <w:noWrap w:val="0"/>
            <w:vAlign w:val="top"/>
          </w:tcPr>
          <w:p w14:paraId="4AE2730D">
            <w:pPr>
              <w:jc w:val="cente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jc w:val="center"/>
              <w:rPr>
                <w:rFonts w:hint="eastAsia" w:ascii="宋体" w:hAnsi="宋体" w:eastAsia="宋体" w:cs="宋体"/>
                <w:sz w:val="24"/>
                <w:lang w:val="en-US" w:eastAsia="zh-CN"/>
              </w:rPr>
            </w:pPr>
            <w:r>
              <w:rPr>
                <w:rFonts w:hint="eastAsia" w:ascii="宋体" w:hAnsi="宋体" w:cs="宋体"/>
                <w:sz w:val="24"/>
                <w:lang w:val="en-US" w:eastAsia="zh-CN"/>
              </w:rPr>
              <w:t>3</w:t>
            </w:r>
          </w:p>
        </w:tc>
        <w:tc>
          <w:tcPr>
            <w:tcW w:w="1516" w:type="dxa"/>
            <w:shd w:val="clear" w:color="auto" w:fill="FFFFFF"/>
            <w:noWrap w:val="0"/>
            <w:vAlign w:val="center"/>
          </w:tcPr>
          <w:p w14:paraId="461DD8F2">
            <w:pPr>
              <w:jc w:val="center"/>
              <w:rPr>
                <w:rFonts w:hint="eastAsia" w:ascii="宋体" w:hAnsi="宋体" w:eastAsia="宋体" w:cs="宋体"/>
                <w:color w:val="000000" w:themeColor="text1"/>
                <w:kern w:val="0"/>
                <w:sz w:val="28"/>
                <w:szCs w:val="28"/>
                <w:u w:val="none"/>
                <w:lang w:val="en-US" w:eastAsia="zh-CN" w:bidi="ar-SA"/>
                <w14:textFill>
                  <w14:solidFill>
                    <w14:schemeClr w14:val="tx1"/>
                  </w14:solidFill>
                </w14:textFill>
              </w:rPr>
            </w:pPr>
            <w:r>
              <w:rPr>
                <w:rFonts w:hint="eastAsia" w:ascii="宋体" w:hAnsi="宋体" w:cs="宋体"/>
                <w:color w:val="000000" w:themeColor="text1"/>
                <w:kern w:val="0"/>
                <w:sz w:val="28"/>
                <w:szCs w:val="28"/>
                <w:u w:val="none"/>
                <w:lang w:val="en-US" w:eastAsia="zh-CN"/>
                <w14:textFill>
                  <w14:solidFill>
                    <w14:schemeClr w14:val="tx1"/>
                  </w14:solidFill>
                </w14:textFill>
              </w:rPr>
              <w:t>药物性废物</w:t>
            </w:r>
          </w:p>
        </w:tc>
        <w:tc>
          <w:tcPr>
            <w:tcW w:w="1177" w:type="dxa"/>
            <w:shd w:val="clear" w:color="auto" w:fill="auto"/>
            <w:noWrap w:val="0"/>
            <w:vAlign w:val="center"/>
          </w:tcPr>
          <w:p w14:paraId="5AA2606A">
            <w:pPr>
              <w:keepNext w:val="0"/>
              <w:keepLines w:val="0"/>
              <w:widowControl/>
              <w:suppressLineNumbers w:val="0"/>
              <w:tabs>
                <w:tab w:val="left" w:pos="432"/>
              </w:tabs>
              <w:jc w:val="center"/>
              <w:textAlignment w:val="center"/>
              <w:rPr>
                <w:rFonts w:hint="eastAsia" w:ascii="宋体" w:hAnsi="宋体" w:eastAsia="宋体" w:cs="宋体"/>
                <w:kern w:val="2"/>
                <w:sz w:val="24"/>
                <w:szCs w:val="24"/>
                <w:lang w:val="en-US" w:eastAsia="zh-CN" w:bidi="ar-SA"/>
              </w:rPr>
            </w:pPr>
            <w:r>
              <w:rPr>
                <w:rFonts w:hint="eastAsia" w:ascii="宋体" w:hAnsi="宋体" w:cs="宋体"/>
                <w:b w:val="0"/>
                <w:bCs w:val="0"/>
                <w:color w:val="000000" w:themeColor="text1"/>
                <w:sz w:val="28"/>
                <w:szCs w:val="28"/>
                <w:vertAlign w:val="baseline"/>
                <w:lang w:val="en-US" w:eastAsia="zh-CN"/>
                <w14:textFill>
                  <w14:solidFill>
                    <w14:schemeClr w14:val="tx1"/>
                  </w14:solidFill>
                </w14:textFill>
              </w:rPr>
              <w:t>150</w:t>
            </w:r>
          </w:p>
        </w:tc>
        <w:tc>
          <w:tcPr>
            <w:tcW w:w="1373" w:type="dxa"/>
            <w:shd w:val="clear" w:color="auto" w:fill="auto"/>
            <w:noWrap w:val="0"/>
            <w:vAlign w:val="center"/>
          </w:tcPr>
          <w:p w14:paraId="2AF75DCC">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cs="宋体"/>
                <w:b w:val="0"/>
                <w:bCs w:val="0"/>
                <w:color w:val="000000" w:themeColor="text1"/>
                <w:sz w:val="28"/>
                <w:szCs w:val="28"/>
                <w:vertAlign w:val="baseline"/>
                <w:lang w:val="en-US" w:eastAsia="zh-CN"/>
                <w14:textFill>
                  <w14:solidFill>
                    <w14:schemeClr w14:val="tx1"/>
                  </w14:solidFill>
                </w14:textFill>
              </w:rPr>
              <w:t>千克</w:t>
            </w:r>
          </w:p>
        </w:tc>
        <w:tc>
          <w:tcPr>
            <w:tcW w:w="1260" w:type="dxa"/>
            <w:noWrap w:val="0"/>
            <w:vAlign w:val="center"/>
          </w:tcPr>
          <w:p w14:paraId="7E1E17CC">
            <w:pPr>
              <w:keepNext w:val="0"/>
              <w:keepLines w:val="0"/>
              <w:widowControl/>
              <w:suppressLineNumbers w:val="0"/>
              <w:jc w:val="center"/>
              <w:textAlignment w:val="center"/>
              <w:rPr>
                <w:rFonts w:hint="eastAsia" w:ascii="宋体" w:hAnsi="宋体" w:cs="宋体"/>
                <w:sz w:val="24"/>
              </w:rPr>
            </w:pPr>
          </w:p>
        </w:tc>
        <w:tc>
          <w:tcPr>
            <w:tcW w:w="1425" w:type="dxa"/>
            <w:noWrap w:val="0"/>
            <w:vAlign w:val="top"/>
          </w:tcPr>
          <w:p w14:paraId="6EE9DA5A">
            <w:pPr>
              <w:jc w:val="center"/>
              <w:rPr>
                <w:rFonts w:hint="eastAsia" w:ascii="宋体" w:hAnsi="宋体" w:cs="宋体"/>
                <w:sz w:val="24"/>
              </w:rPr>
            </w:pPr>
          </w:p>
        </w:tc>
        <w:tc>
          <w:tcPr>
            <w:tcW w:w="1304" w:type="dxa"/>
            <w:noWrap w:val="0"/>
            <w:vAlign w:val="top"/>
          </w:tcPr>
          <w:p w14:paraId="6DCE5853">
            <w:pPr>
              <w:jc w:val="cente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7"/>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6"/>
        <w:rPr>
          <w:rFonts w:hint="eastAsia" w:ascii="宋体" w:hAnsi="宋体"/>
          <w:b/>
          <w:bCs/>
          <w:sz w:val="32"/>
          <w:szCs w:val="32"/>
          <w:lang w:eastAsia="zh-CN"/>
        </w:rPr>
      </w:pPr>
    </w:p>
    <w:p w14:paraId="69E200E7">
      <w:pPr>
        <w:pStyle w:val="14"/>
        <w:rPr>
          <w:rFonts w:hint="eastAsia"/>
          <w:lang w:eastAsia="zh-CN"/>
        </w:rPr>
      </w:pPr>
    </w:p>
    <w:p w14:paraId="03EF6F1C">
      <w:pPr>
        <w:pStyle w:val="14"/>
        <w:rPr>
          <w:rFonts w:hint="eastAsia"/>
          <w:lang w:eastAsia="zh-CN"/>
        </w:rPr>
      </w:pPr>
    </w:p>
    <w:p w14:paraId="43E5E025">
      <w:pPr>
        <w:jc w:val="center"/>
        <w:rPr>
          <w:rFonts w:hint="eastAsia" w:ascii="宋体" w:hAnsi="宋体"/>
          <w:b/>
          <w:bCs/>
          <w:sz w:val="32"/>
          <w:szCs w:val="32"/>
          <w:lang w:eastAsia="zh-CN"/>
        </w:rPr>
      </w:pPr>
    </w:p>
    <w:p w14:paraId="0853C5FC">
      <w:pPr>
        <w:pStyle w:val="6"/>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0"/>
        <w:pBdr>
          <w:bottom w:val="none" w:color="auto" w:sz="0" w:space="0"/>
        </w:pBdr>
        <w:tabs>
          <w:tab w:val="clear" w:pos="4153"/>
          <w:tab w:val="clear" w:pos="8306"/>
        </w:tabs>
        <w:snapToGrid/>
        <w:jc w:val="both"/>
        <w:rPr>
          <w:rFonts w:hint="eastAsia" w:ascii="宋体" w:hAnsi="宋体"/>
          <w:sz w:val="24"/>
          <w:szCs w:val="24"/>
        </w:rPr>
      </w:pPr>
    </w:p>
    <w:p w14:paraId="64CDB550">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72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8"/>
        <w:tabs>
          <w:tab w:val="left" w:pos="0"/>
        </w:tabs>
        <w:spacing w:after="0" w:line="400" w:lineRule="exact"/>
        <w:rPr>
          <w:rFonts w:hint="eastAsia"/>
        </w:rPr>
      </w:pPr>
    </w:p>
    <w:p w14:paraId="09233E8B">
      <w:pPr>
        <w:pStyle w:val="8"/>
        <w:tabs>
          <w:tab w:val="left" w:pos="0"/>
        </w:tabs>
        <w:rPr>
          <w:rFonts w:hint="eastAsia"/>
        </w:rPr>
      </w:pPr>
    </w:p>
    <w:p w14:paraId="5BF951EE">
      <w:pPr>
        <w:pStyle w:val="8"/>
        <w:tabs>
          <w:tab w:val="left" w:pos="0"/>
        </w:tabs>
        <w:rPr>
          <w:rFonts w:hint="eastAsia"/>
        </w:rPr>
      </w:pPr>
    </w:p>
    <w:p w14:paraId="1EACDFB2">
      <w:pPr>
        <w:pStyle w:val="8"/>
        <w:tabs>
          <w:tab w:val="left" w:pos="0"/>
        </w:tabs>
        <w:rPr>
          <w:rFonts w:hint="eastAsia"/>
        </w:rPr>
      </w:pPr>
    </w:p>
    <w:p w14:paraId="49BA259B">
      <w:pPr>
        <w:pStyle w:val="8"/>
        <w:tabs>
          <w:tab w:val="left" w:pos="0"/>
        </w:tabs>
        <w:rPr>
          <w:rFonts w:hint="eastAsia"/>
        </w:rPr>
      </w:pPr>
    </w:p>
    <w:p w14:paraId="26D6F00E">
      <w:pPr>
        <w:pStyle w:val="8"/>
        <w:tabs>
          <w:tab w:val="left" w:pos="0"/>
        </w:tabs>
        <w:rPr>
          <w:rFonts w:hint="eastAsia"/>
        </w:rPr>
      </w:pPr>
    </w:p>
    <w:p w14:paraId="587DFC25">
      <w:pPr>
        <w:pStyle w:val="8"/>
        <w:tabs>
          <w:tab w:val="left" w:pos="0"/>
        </w:tabs>
        <w:ind w:left="0" w:leftChars="0" w:firstLine="0" w:firstLineChars="0"/>
        <w:jc w:val="both"/>
        <w:rPr>
          <w:rFonts w:hint="eastAsia"/>
          <w:b/>
          <w:sz w:val="32"/>
          <w:szCs w:val="32"/>
        </w:rPr>
      </w:pPr>
    </w:p>
    <w:p w14:paraId="0FD1EA34">
      <w:pPr>
        <w:pStyle w:val="8"/>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8"/>
        <w:tabs>
          <w:tab w:val="left" w:pos="0"/>
        </w:tabs>
        <w:jc w:val="center"/>
        <w:rPr>
          <w:rFonts w:hint="eastAsia"/>
        </w:rPr>
      </w:pPr>
    </w:p>
    <w:p w14:paraId="0CD2C491">
      <w:pPr>
        <w:pStyle w:val="8"/>
        <w:tabs>
          <w:tab w:val="left" w:pos="0"/>
        </w:tabs>
        <w:jc w:val="center"/>
        <w:rPr>
          <w:rFonts w:hint="eastAsia"/>
        </w:rPr>
      </w:pPr>
    </w:p>
    <w:p w14:paraId="51992F2D">
      <w:pPr>
        <w:pStyle w:val="8"/>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6"/>
        <w:rPr>
          <w:rFonts w:hint="eastAsia"/>
        </w:rPr>
      </w:pPr>
    </w:p>
    <w:p w14:paraId="43B5CC88">
      <w:pPr>
        <w:pStyle w:val="6"/>
        <w:rPr>
          <w:rFonts w:hint="eastAsia"/>
          <w:sz w:val="24"/>
        </w:rPr>
      </w:pPr>
    </w:p>
    <w:p w14:paraId="29EAF9DA">
      <w:pPr>
        <w:pStyle w:val="14"/>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6"/>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14"/>
        <w:rPr>
          <w:sz w:val="24"/>
          <w:highlight w:val="white"/>
        </w:rPr>
      </w:pPr>
    </w:p>
    <w:p w14:paraId="4C0E06A2">
      <w:pPr>
        <w:pStyle w:val="14"/>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4"/>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4"/>
        <w:rPr>
          <w:rFonts w:hint="eastAsia"/>
          <w:sz w:val="24"/>
          <w:highlight w:val="white"/>
        </w:rPr>
      </w:pPr>
    </w:p>
    <w:p w14:paraId="1C83667E">
      <w:pPr>
        <w:pStyle w:val="14"/>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4"/>
        <w:rPr>
          <w:rFonts w:hint="eastAsia"/>
          <w:sz w:val="24"/>
          <w:highlight w:val="white"/>
        </w:rPr>
      </w:pPr>
    </w:p>
    <w:p w14:paraId="632478B8">
      <w:pPr>
        <w:pStyle w:val="14"/>
        <w:rPr>
          <w:rFonts w:hint="eastAsia"/>
          <w:sz w:val="24"/>
          <w:highlight w:val="white"/>
        </w:rPr>
      </w:pPr>
    </w:p>
    <w:p w14:paraId="0483F5B2">
      <w:pPr>
        <w:pStyle w:val="14"/>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4"/>
        <w:rPr>
          <w:rFonts w:hint="eastAsia"/>
          <w:sz w:val="24"/>
          <w:highlight w:val="white"/>
        </w:rPr>
      </w:pPr>
    </w:p>
    <w:p w14:paraId="51D82C1E">
      <w:pPr>
        <w:rPr>
          <w:rFonts w:hint="eastAsia"/>
          <w:sz w:val="24"/>
          <w:highlight w:val="white"/>
        </w:rPr>
      </w:pPr>
    </w:p>
    <w:p w14:paraId="6D746924">
      <w:pPr>
        <w:pStyle w:val="6"/>
        <w:rPr>
          <w:rFonts w:hint="eastAsia"/>
          <w:sz w:val="24"/>
          <w:highlight w:val="white"/>
        </w:rPr>
      </w:pPr>
    </w:p>
    <w:p w14:paraId="0505B11F">
      <w:pPr>
        <w:pStyle w:val="14"/>
        <w:rPr>
          <w:rFonts w:hint="eastAsia"/>
          <w:sz w:val="24"/>
          <w:highlight w:val="white"/>
        </w:rPr>
      </w:pPr>
    </w:p>
    <w:p w14:paraId="349F1E08">
      <w:pPr>
        <w:rPr>
          <w:rFonts w:hint="eastAsia"/>
          <w:sz w:val="24"/>
          <w:highlight w:val="white"/>
        </w:rPr>
      </w:pPr>
    </w:p>
    <w:p w14:paraId="1B147E75">
      <w:pPr>
        <w:pStyle w:val="6"/>
        <w:rPr>
          <w:rFonts w:hint="eastAsia"/>
          <w:sz w:val="24"/>
          <w:highlight w:val="white"/>
        </w:rPr>
      </w:pPr>
    </w:p>
    <w:p w14:paraId="35C9DB1F">
      <w:pPr>
        <w:pStyle w:val="14"/>
        <w:rPr>
          <w:rFonts w:hint="eastAsia"/>
          <w:sz w:val="24"/>
          <w:highlight w:val="white"/>
        </w:rPr>
      </w:pPr>
    </w:p>
    <w:p w14:paraId="71314514">
      <w:pPr>
        <w:rPr>
          <w:rFonts w:hint="eastAsia"/>
          <w:sz w:val="24"/>
          <w:highlight w:val="white"/>
        </w:rPr>
      </w:pPr>
    </w:p>
    <w:p w14:paraId="19CF632C">
      <w:pPr>
        <w:pStyle w:val="6"/>
        <w:rPr>
          <w:rFonts w:hint="eastAsia"/>
          <w:sz w:val="24"/>
          <w:highlight w:val="white"/>
        </w:rPr>
      </w:pPr>
    </w:p>
    <w:p w14:paraId="47381597">
      <w:pPr>
        <w:pStyle w:val="14"/>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6"/>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50864527"/>
      <w:bookmarkStart w:id="33" w:name="_Toc349810624"/>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9"/>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9"/>
      <w:framePr w:wrap="around" w:vAnchor="text" w:hAnchor="margin" w:xAlign="outside" w:y="1"/>
      <w:rPr>
        <w:rStyle w:val="19"/>
        <w:rFonts w:hint="eastAsia" w:ascii="Times New Roman" w:hAnsi="Times New Roman" w:eastAsia="宋体" w:cs="Times New Roman"/>
      </w:rPr>
    </w:pPr>
  </w:p>
  <w:p w14:paraId="2FA3308A">
    <w:pPr>
      <w:pStyle w:val="9"/>
      <w:framePr w:wrap="around" w:vAnchor="text" w:hAnchor="margin" w:xAlign="outside" w:y="1"/>
      <w:rPr>
        <w:rStyle w:val="19"/>
        <w:rFonts w:hint="eastAsia" w:ascii="Times New Roman" w:hAnsi="Times New Roman" w:eastAsia="宋体" w:cs="Times New Roman"/>
      </w:rPr>
    </w:pPr>
  </w:p>
  <w:p w14:paraId="74A77EF2">
    <w:pPr>
      <w:pStyle w:val="9"/>
      <w:framePr w:wrap="around" w:vAnchor="text" w:hAnchor="margin" w:xAlign="outside" w:y="1"/>
      <w:rPr>
        <w:rStyle w:val="19"/>
        <w:rFonts w:hint="eastAsia" w:ascii="Times New Roman" w:hAnsi="Times New Roman" w:eastAsia="宋体" w:cs="Times New Roman"/>
      </w:rPr>
    </w:pPr>
  </w:p>
  <w:p w14:paraId="06428C61">
    <w:pPr>
      <w:pStyle w:val="9"/>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9"/>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9"/>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9"/>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9"/>
      <w:framePr w:wrap="around" w:vAnchor="text" w:hAnchor="margin" w:xAlign="outside" w:y="1"/>
      <w:rPr>
        <w:rStyle w:val="19"/>
        <w:rFonts w:hint="eastAsia"/>
      </w:rPr>
    </w:pPr>
  </w:p>
  <w:p w14:paraId="4A84BA1B">
    <w:pPr>
      <w:pStyle w:val="9"/>
      <w:framePr w:wrap="around" w:vAnchor="text" w:hAnchor="margin" w:xAlign="outside" w:y="1"/>
      <w:rPr>
        <w:rStyle w:val="19"/>
        <w:rFonts w:hint="eastAsia"/>
      </w:rPr>
    </w:pPr>
  </w:p>
  <w:p w14:paraId="4FA7D3F1">
    <w:pPr>
      <w:pStyle w:val="9"/>
      <w:framePr w:wrap="around" w:vAnchor="text" w:hAnchor="margin" w:xAlign="outside" w:y="1"/>
      <w:rPr>
        <w:rStyle w:val="19"/>
        <w:rFonts w:hint="eastAsia"/>
      </w:rPr>
    </w:pPr>
  </w:p>
  <w:p w14:paraId="6C2E5B50">
    <w:pPr>
      <w:pStyle w:val="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0"/>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26B616F"/>
    <w:rsid w:val="027636BD"/>
    <w:rsid w:val="03312117"/>
    <w:rsid w:val="03382710"/>
    <w:rsid w:val="044E51C5"/>
    <w:rsid w:val="04A56D22"/>
    <w:rsid w:val="05A73BC6"/>
    <w:rsid w:val="05C95532"/>
    <w:rsid w:val="061044D7"/>
    <w:rsid w:val="069E4015"/>
    <w:rsid w:val="06BF1338"/>
    <w:rsid w:val="07A41AD7"/>
    <w:rsid w:val="082774BE"/>
    <w:rsid w:val="09124A1D"/>
    <w:rsid w:val="095F7AF5"/>
    <w:rsid w:val="0A002AA2"/>
    <w:rsid w:val="0B9F3C77"/>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5CA0325"/>
    <w:rsid w:val="16FE5738"/>
    <w:rsid w:val="17076BA6"/>
    <w:rsid w:val="17214185"/>
    <w:rsid w:val="17AC53CA"/>
    <w:rsid w:val="17D16426"/>
    <w:rsid w:val="18D362B4"/>
    <w:rsid w:val="19575943"/>
    <w:rsid w:val="195A66FF"/>
    <w:rsid w:val="196E39FC"/>
    <w:rsid w:val="19970C16"/>
    <w:rsid w:val="1A1C153A"/>
    <w:rsid w:val="1A412630"/>
    <w:rsid w:val="1A705BA0"/>
    <w:rsid w:val="1C790BEF"/>
    <w:rsid w:val="1CC21F8E"/>
    <w:rsid w:val="1DDF0350"/>
    <w:rsid w:val="1E484501"/>
    <w:rsid w:val="1EBD0837"/>
    <w:rsid w:val="1F7A022C"/>
    <w:rsid w:val="1FBF6B0B"/>
    <w:rsid w:val="1FE43AF7"/>
    <w:rsid w:val="204A081C"/>
    <w:rsid w:val="205058A7"/>
    <w:rsid w:val="20714280"/>
    <w:rsid w:val="207460AE"/>
    <w:rsid w:val="21427125"/>
    <w:rsid w:val="21CC3154"/>
    <w:rsid w:val="21DC6CB0"/>
    <w:rsid w:val="22947F00"/>
    <w:rsid w:val="23902475"/>
    <w:rsid w:val="239E61C1"/>
    <w:rsid w:val="248F084E"/>
    <w:rsid w:val="259801CB"/>
    <w:rsid w:val="268F0FD1"/>
    <w:rsid w:val="275A7263"/>
    <w:rsid w:val="27644041"/>
    <w:rsid w:val="28AE6232"/>
    <w:rsid w:val="28FC4860"/>
    <w:rsid w:val="28FC7A35"/>
    <w:rsid w:val="2A1047F1"/>
    <w:rsid w:val="2A745C14"/>
    <w:rsid w:val="2AAA30F8"/>
    <w:rsid w:val="2AE95BE6"/>
    <w:rsid w:val="2AE9675F"/>
    <w:rsid w:val="2AEB2240"/>
    <w:rsid w:val="2B4F4C91"/>
    <w:rsid w:val="2B7E6357"/>
    <w:rsid w:val="2BAB1AA3"/>
    <w:rsid w:val="2C0F10F4"/>
    <w:rsid w:val="2C153338"/>
    <w:rsid w:val="2C974493"/>
    <w:rsid w:val="2D543928"/>
    <w:rsid w:val="2D5B63DD"/>
    <w:rsid w:val="2D862680"/>
    <w:rsid w:val="2DBA37B3"/>
    <w:rsid w:val="2DDA0375"/>
    <w:rsid w:val="2E430D9E"/>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1B0F8A"/>
    <w:rsid w:val="38CF6C67"/>
    <w:rsid w:val="39724869"/>
    <w:rsid w:val="399E4444"/>
    <w:rsid w:val="39F00B36"/>
    <w:rsid w:val="39F6064F"/>
    <w:rsid w:val="3A027D9F"/>
    <w:rsid w:val="3AAA3917"/>
    <w:rsid w:val="3ADD3456"/>
    <w:rsid w:val="3B4B5EE5"/>
    <w:rsid w:val="3B971312"/>
    <w:rsid w:val="3BA20ED0"/>
    <w:rsid w:val="3BF91DF5"/>
    <w:rsid w:val="3C64337B"/>
    <w:rsid w:val="3D255EAC"/>
    <w:rsid w:val="3DA22932"/>
    <w:rsid w:val="3E1E4076"/>
    <w:rsid w:val="3F076215"/>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E905BD"/>
    <w:rsid w:val="4AF905C9"/>
    <w:rsid w:val="4B4357DF"/>
    <w:rsid w:val="4C192B2B"/>
    <w:rsid w:val="4C5A31D0"/>
    <w:rsid w:val="4C667968"/>
    <w:rsid w:val="4D094EC3"/>
    <w:rsid w:val="4D3F2ADF"/>
    <w:rsid w:val="4DBB6A04"/>
    <w:rsid w:val="4E6E2C07"/>
    <w:rsid w:val="4EBF4055"/>
    <w:rsid w:val="4EC400D5"/>
    <w:rsid w:val="4EDD2E4D"/>
    <w:rsid w:val="4F45676F"/>
    <w:rsid w:val="4F9B62CA"/>
    <w:rsid w:val="501D6280"/>
    <w:rsid w:val="50E32F3E"/>
    <w:rsid w:val="52D75F1F"/>
    <w:rsid w:val="540A6EF0"/>
    <w:rsid w:val="54535450"/>
    <w:rsid w:val="54575F7D"/>
    <w:rsid w:val="54E61D80"/>
    <w:rsid w:val="552B0390"/>
    <w:rsid w:val="560A5808"/>
    <w:rsid w:val="56163B54"/>
    <w:rsid w:val="562A7CF5"/>
    <w:rsid w:val="56356D29"/>
    <w:rsid w:val="56383356"/>
    <w:rsid w:val="56537BBB"/>
    <w:rsid w:val="566D68DF"/>
    <w:rsid w:val="5691060A"/>
    <w:rsid w:val="56B1772C"/>
    <w:rsid w:val="56F47B21"/>
    <w:rsid w:val="572063DD"/>
    <w:rsid w:val="573C5230"/>
    <w:rsid w:val="57B81CF9"/>
    <w:rsid w:val="58375B00"/>
    <w:rsid w:val="584B5BE4"/>
    <w:rsid w:val="58905DEE"/>
    <w:rsid w:val="5901420E"/>
    <w:rsid w:val="59C232FC"/>
    <w:rsid w:val="59D3326C"/>
    <w:rsid w:val="5A567355"/>
    <w:rsid w:val="5AA4447D"/>
    <w:rsid w:val="5AC63350"/>
    <w:rsid w:val="5ADB6F33"/>
    <w:rsid w:val="5BC27203"/>
    <w:rsid w:val="5C2C4CF4"/>
    <w:rsid w:val="5C4E7ACC"/>
    <w:rsid w:val="5C57765F"/>
    <w:rsid w:val="5CDC79F3"/>
    <w:rsid w:val="5D7E2CB1"/>
    <w:rsid w:val="5F3F5BA7"/>
    <w:rsid w:val="5F9C5684"/>
    <w:rsid w:val="5FAB2C98"/>
    <w:rsid w:val="5FE96808"/>
    <w:rsid w:val="5FF6089C"/>
    <w:rsid w:val="6005277B"/>
    <w:rsid w:val="603D5D93"/>
    <w:rsid w:val="622D6AC7"/>
    <w:rsid w:val="62835C1F"/>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4E688F"/>
    <w:rsid w:val="68D54020"/>
    <w:rsid w:val="68E75513"/>
    <w:rsid w:val="698836FF"/>
    <w:rsid w:val="6A0B44CE"/>
    <w:rsid w:val="6A7004ED"/>
    <w:rsid w:val="6AFA6AA0"/>
    <w:rsid w:val="6B883AD8"/>
    <w:rsid w:val="6C580329"/>
    <w:rsid w:val="6C5917C2"/>
    <w:rsid w:val="6C801654"/>
    <w:rsid w:val="6E8E64EB"/>
    <w:rsid w:val="6F462AF9"/>
    <w:rsid w:val="6FB86553"/>
    <w:rsid w:val="70260E8E"/>
    <w:rsid w:val="7128436B"/>
    <w:rsid w:val="72124A65"/>
    <w:rsid w:val="723D1701"/>
    <w:rsid w:val="73640109"/>
    <w:rsid w:val="73A42611"/>
    <w:rsid w:val="73BE5F83"/>
    <w:rsid w:val="73D310AA"/>
    <w:rsid w:val="750E512E"/>
    <w:rsid w:val="75AC5B7C"/>
    <w:rsid w:val="75F4747B"/>
    <w:rsid w:val="76427C85"/>
    <w:rsid w:val="772228AB"/>
    <w:rsid w:val="77DD2899"/>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6">
    <w:name w:val="Body Text"/>
    <w:basedOn w:val="1"/>
    <w:next w:val="1"/>
    <w:autoRedefine/>
    <w:qFormat/>
    <w:uiPriority w:val="0"/>
    <w:pPr>
      <w:spacing w:after="120"/>
    </w:pPr>
    <w:rPr>
      <w:szCs w:val="22"/>
    </w:rPr>
  </w:style>
  <w:style w:type="paragraph" w:styleId="7">
    <w:name w:val="Body Text Indent"/>
    <w:basedOn w:val="1"/>
    <w:autoRedefine/>
    <w:qFormat/>
    <w:uiPriority w:val="0"/>
    <w:pPr>
      <w:ind w:firstLine="630"/>
    </w:pPr>
    <w:rPr>
      <w:sz w:val="32"/>
      <w:szCs w:val="20"/>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snapToGrid w:val="0"/>
      <w:jc w:val="left"/>
    </w:pPr>
    <w:rPr>
      <w:sz w:val="18"/>
      <w:szCs w:val="20"/>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autoRedefine/>
    <w:qFormat/>
    <w:uiPriority w:val="0"/>
  </w:style>
  <w:style w:type="paragraph" w:styleId="12">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3">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4">
    <w:name w:val="Body Text First Indent"/>
    <w:basedOn w:val="6"/>
    <w:autoRedefine/>
    <w:qFormat/>
    <w:uiPriority w:val="0"/>
    <w:pPr>
      <w:ind w:firstLine="420" w:firstLineChars="1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8768</Words>
  <Characters>9197</Characters>
  <Lines>0</Lines>
  <Paragraphs>0</Paragraphs>
  <TotalTime>1</TotalTime>
  <ScaleCrop>false</ScaleCrop>
  <LinksUpToDate>false</LinksUpToDate>
  <CharactersWithSpaces>9288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鲁佳俊</cp:lastModifiedBy>
  <cp:lastPrinted>2026-05-18T09:34:00Z</cp:lastPrinted>
  <dcterms:modified xsi:type="dcterms:W3CDTF">2026-05-22T09:06:37Z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98EBC1986D1242EDB56CDA21F49C1E75_13</vt:lpwstr>
  </property>
  <property fmtid="{D5CDD505-2E9C-101B-9397-08002B2CF9AE}" pid="4" name="KSOTemplateDocerSaveRecord">
    <vt:lpwstr>eyJoZGlkIjoiM2VmM2FjNzRjOWM3N2FmZjhjMzc2MzE1M2U2MTdhNGEiLCJ1c2VySWQiOiIxNzc1NDk1MTY0In0=</vt:lpwstr>
  </property>
</Properties>
</file>