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33"/>
      </w:pPr>
      <w:bookmarkStart w:id="0" w:name="_Hlt101843627"/>
      <w:bookmarkEnd w:id="0"/>
      <w:bookmarkStart w:id="1" w:name="_Hlt101233737"/>
      <w:bookmarkEnd w:id="1"/>
      <w:r>
        <w:br w:type="textWrapping"/>
      </w:r>
      <w:r>
        <w:br w:type="textWrapping"/>
      </w:r>
      <w:r>
        <w:br w:type="textWrapping"/>
      </w:r>
      <w:r>
        <w:br w:type="textWrapping"/>
      </w:r>
      <w:r>
        <w:br w:type="textWrapping"/>
      </w:r>
    </w:p>
    <w:p w14:paraId="33C1D385">
      <w:pPr>
        <w:pStyle w:val="33"/>
        <w:jc w:val="center"/>
        <w:outlineLvl w:val="0"/>
      </w:pPr>
      <w:r>
        <w:rPr>
          <w:rFonts w:hint="eastAsia"/>
          <w:b/>
          <w:sz w:val="48"/>
          <w:lang w:eastAsia="zh-CN"/>
        </w:rPr>
        <w:t>询价通知书</w:t>
      </w:r>
      <w:r>
        <w:br w:type="textWrapping"/>
      </w:r>
      <w:r>
        <w:br w:type="textWrapping"/>
      </w:r>
      <w:r>
        <w:br w:type="textWrapping"/>
      </w:r>
    </w:p>
    <w:p w14:paraId="67D7A880">
      <w:pPr>
        <w:pStyle w:val="33"/>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33"/>
        <w:jc w:val="center"/>
        <w:outlineLvl w:val="1"/>
      </w:pPr>
    </w:p>
    <w:p w14:paraId="244EBC09">
      <w:pPr>
        <w:pStyle w:val="33"/>
        <w:jc w:val="center"/>
        <w:outlineLvl w:val="1"/>
      </w:pPr>
    </w:p>
    <w:p w14:paraId="5E79A0A4">
      <w:pPr>
        <w:pStyle w:val="33"/>
        <w:jc w:val="center"/>
        <w:outlineLvl w:val="1"/>
      </w:pPr>
      <w:r>
        <w:br w:type="textWrapping"/>
      </w:r>
      <w:r>
        <w:br w:type="textWrapping"/>
      </w:r>
      <w:r>
        <w:br w:type="textWrapping"/>
      </w:r>
    </w:p>
    <w:p w14:paraId="7A75C5A4">
      <w:pPr>
        <w:pStyle w:val="33"/>
        <w:jc w:val="center"/>
        <w:outlineLvl w:val="2"/>
        <w:rPr>
          <w:rFonts w:hint="eastAsia"/>
          <w:b/>
          <w:sz w:val="28"/>
          <w:lang w:eastAsia="zh-CN"/>
        </w:rPr>
      </w:pPr>
      <w:r>
        <w:rPr>
          <w:b/>
          <w:sz w:val="28"/>
        </w:rPr>
        <w:t>采购项目名称：</w:t>
      </w:r>
      <w:r>
        <w:rPr>
          <w:rFonts w:hint="eastAsia"/>
          <w:b/>
          <w:sz w:val="28"/>
          <w:lang w:eastAsia="zh-CN"/>
        </w:rPr>
        <w:t>邻水县人民医院</w:t>
      </w:r>
      <w:r>
        <w:rPr>
          <w:rFonts w:hint="eastAsia"/>
          <w:b/>
          <w:sz w:val="28"/>
          <w:lang w:val="en-US" w:eastAsia="zh-CN"/>
        </w:rPr>
        <w:t>智能化病历内涵质控系统（AI质控）（二次）</w:t>
      </w:r>
    </w:p>
    <w:p w14:paraId="14DDC134">
      <w:pPr>
        <w:pStyle w:val="33"/>
        <w:jc w:val="center"/>
        <w:outlineLvl w:val="2"/>
      </w:pPr>
      <w:r>
        <w:rPr>
          <w:b/>
          <w:sz w:val="28"/>
        </w:rPr>
        <w:t>采购项目编号：</w:t>
      </w:r>
      <w:r>
        <w:rPr>
          <w:rFonts w:hint="eastAsia" w:ascii="宋体"/>
          <w:b/>
          <w:sz w:val="30"/>
          <w:szCs w:val="30"/>
          <w:lang w:eastAsia="zh-CN"/>
        </w:rPr>
        <w:t>LYC-2025-</w:t>
      </w:r>
      <w:r>
        <w:rPr>
          <w:rFonts w:hint="eastAsia" w:ascii="宋体"/>
          <w:b/>
          <w:sz w:val="30"/>
          <w:szCs w:val="30"/>
          <w:lang w:val="en-US" w:eastAsia="zh-CN"/>
        </w:rPr>
        <w:t>12</w:t>
      </w:r>
      <w:r>
        <w:rPr>
          <w:rFonts w:hint="eastAsia" w:ascii="宋体"/>
          <w:b/>
          <w:sz w:val="30"/>
          <w:szCs w:val="30"/>
          <w:lang w:eastAsia="zh-CN"/>
        </w:rPr>
        <w:t>5</w:t>
      </w:r>
      <w:r>
        <w:br w:type="textWrapping"/>
      </w:r>
      <w:r>
        <w:br w:type="textWrapping"/>
      </w:r>
    </w:p>
    <w:p w14:paraId="10D0C956">
      <w:pPr>
        <w:pStyle w:val="33"/>
        <w:jc w:val="center"/>
        <w:outlineLvl w:val="2"/>
      </w:pPr>
    </w:p>
    <w:p w14:paraId="69B2524C">
      <w:pPr>
        <w:pStyle w:val="33"/>
        <w:jc w:val="center"/>
        <w:outlineLvl w:val="2"/>
      </w:pPr>
      <w:r>
        <w:rPr>
          <w:rFonts w:hint="eastAsia"/>
          <w:b/>
          <w:sz w:val="28"/>
          <w:lang w:eastAsia="zh-CN"/>
        </w:rPr>
        <w:t>邻水县人民医院</w:t>
      </w:r>
      <w:r>
        <w:rPr>
          <w:b/>
          <w:sz w:val="28"/>
        </w:rPr>
        <w:t>编制</w:t>
      </w:r>
    </w:p>
    <w:p w14:paraId="0EC99388">
      <w:pPr>
        <w:pStyle w:val="33"/>
        <w:jc w:val="center"/>
        <w:outlineLvl w:val="2"/>
      </w:pPr>
      <w:r>
        <w:rPr>
          <w:b/>
          <w:sz w:val="28"/>
        </w:rPr>
        <w:t>202</w:t>
      </w:r>
      <w:r>
        <w:rPr>
          <w:rFonts w:hint="eastAsia"/>
          <w:b/>
          <w:sz w:val="28"/>
          <w:lang w:val="en-US" w:eastAsia="zh-CN"/>
        </w:rPr>
        <w:t>6</w:t>
      </w:r>
      <w:r>
        <w:rPr>
          <w:b/>
          <w:sz w:val="28"/>
        </w:rPr>
        <w:t>年</w:t>
      </w:r>
      <w:r>
        <w:rPr>
          <w:rFonts w:hint="eastAsia"/>
          <w:b/>
          <w:sz w:val="28"/>
          <w:lang w:val="en-US" w:eastAsia="zh-CN"/>
        </w:rPr>
        <w:t>1</w:t>
      </w:r>
      <w:r>
        <w:rPr>
          <w:b/>
          <w:sz w:val="28"/>
        </w:rPr>
        <w:t>月</w:t>
      </w:r>
      <w:r>
        <w:rPr>
          <w:rFonts w:hint="eastAsia"/>
          <w:b/>
          <w:sz w:val="28"/>
          <w:lang w:val="en-US" w:eastAsia="zh-CN"/>
        </w:rPr>
        <w:t>21</w:t>
      </w:r>
      <w:r>
        <w:rPr>
          <w:b/>
          <w:sz w:val="28"/>
        </w:rPr>
        <w:t>日</w:t>
      </w:r>
    </w:p>
    <w:p w14:paraId="4C082501">
      <w:pPr>
        <w:pStyle w:val="33"/>
        <w:jc w:val="center"/>
        <w:outlineLvl w:val="2"/>
      </w:pPr>
    </w:p>
    <w:p w14:paraId="468458F6">
      <w:pPr>
        <w:pStyle w:val="33"/>
        <w:jc w:val="center"/>
        <w:outlineLvl w:val="1"/>
        <w:rPr>
          <w:b/>
          <w:sz w:val="36"/>
        </w:rPr>
      </w:pPr>
    </w:p>
    <w:p w14:paraId="659791B2">
      <w:pPr>
        <w:pStyle w:val="33"/>
        <w:jc w:val="center"/>
        <w:outlineLvl w:val="1"/>
        <w:rPr>
          <w:b/>
          <w:sz w:val="36"/>
        </w:rPr>
      </w:pPr>
    </w:p>
    <w:p w14:paraId="4B5E39A2">
      <w:pPr>
        <w:pStyle w:val="33"/>
        <w:jc w:val="center"/>
        <w:outlineLvl w:val="1"/>
        <w:rPr>
          <w:b/>
          <w:sz w:val="36"/>
        </w:rPr>
      </w:pPr>
    </w:p>
    <w:p w14:paraId="2DEC8FEA">
      <w:pPr>
        <w:pStyle w:val="2"/>
        <w:keepNext w:val="0"/>
        <w:keepLines w:val="0"/>
        <w:spacing w:before="260" w:after="260" w:line="360" w:lineRule="exact"/>
        <w:jc w:val="center"/>
        <w:rPr>
          <w:rFonts w:hint="eastAsia" w:ascii="宋体"/>
          <w:bCs w:val="0"/>
          <w:sz w:val="36"/>
        </w:rPr>
      </w:pPr>
      <w:bookmarkStart w:id="2" w:name="_Toc30906"/>
      <w:bookmarkStart w:id="3" w:name="_Toc2769"/>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LYC-2025-125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智能化病历内涵质控系统（AI质控）（二次）</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27</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27</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cs="Times New Roman"/>
          <w:sz w:val="24"/>
          <w:szCs w:val="22"/>
          <w:lang w:val="en-US" w:eastAsia="zh-CN"/>
        </w:rPr>
        <w:t>无。</w:t>
      </w:r>
    </w:p>
    <w:p w14:paraId="20D55FE1">
      <w:pPr>
        <w:pStyle w:val="9"/>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6</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1</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26</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报名。报名资料：营业执照、法人授权委托书、法定代表人及被授权人身份证复印件。报名后，收到本邮箱的“报名成功”回复才表示报名成功，否则视为报名无效。询价通知书在邻水县人民医院官网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27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27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27</w:t>
      </w:r>
      <w:bookmarkStart w:id="34" w:name="_GoBack"/>
      <w:bookmarkEnd w:id="34"/>
      <w:r>
        <w:rPr>
          <w:rFonts w:hint="eastAsia" w:ascii="宋体" w:hAnsi="宋体" w:cs="宋体"/>
          <w:b w:val="0"/>
          <w:bCs/>
          <w:color w:val="auto"/>
          <w:sz w:val="24"/>
          <w:u w:val="single"/>
          <w:lang w:val="en-US" w:eastAsia="zh-CN"/>
        </w:rPr>
        <w:t xml:space="preserve">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eastAsia="宋体" w:cs="宋体"/>
          <w:b w:val="0"/>
          <w:bCs/>
          <w:color w:val="auto"/>
          <w:sz w:val="24"/>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5"/>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5"/>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、林老师</w:t>
      </w:r>
      <w:r>
        <w:rPr>
          <w:rFonts w:hint="eastAsia"/>
          <w:sz w:val="24"/>
          <w:lang w:val="en-US" w:eastAsia="zh-CN"/>
        </w:rPr>
        <w:tab/>
      </w:r>
    </w:p>
    <w:p w14:paraId="2D0F87E9">
      <w:pPr>
        <w:pStyle w:val="25"/>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、15284952268 </w:t>
      </w:r>
    </w:p>
    <w:p w14:paraId="29538C5F">
      <w:pPr>
        <w:pStyle w:val="25"/>
        <w:spacing w:line="440" w:lineRule="exact"/>
        <w:ind w:firstLine="1200" w:firstLineChars="500"/>
        <w:rPr>
          <w:rFonts w:hint="default"/>
          <w:sz w:val="24"/>
          <w:lang w:val="en-US" w:eastAsia="zh-CN"/>
        </w:rPr>
      </w:pPr>
    </w:p>
    <w:p w14:paraId="016FA503">
      <w:pPr>
        <w:pStyle w:val="16"/>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9"/>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33"/>
            </w:pPr>
            <w:r>
              <w:t>序号</w:t>
            </w:r>
          </w:p>
        </w:tc>
        <w:tc>
          <w:tcPr>
            <w:tcW w:w="2252" w:type="dxa"/>
          </w:tcPr>
          <w:p w14:paraId="6F0D5B1B">
            <w:pPr>
              <w:pStyle w:val="33"/>
            </w:pPr>
            <w:r>
              <w:t>应知事项</w:t>
            </w:r>
          </w:p>
        </w:tc>
        <w:tc>
          <w:tcPr>
            <w:tcW w:w="5184" w:type="dxa"/>
          </w:tcPr>
          <w:p w14:paraId="4F69C865">
            <w:pPr>
              <w:pStyle w:val="33"/>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33"/>
            </w:pPr>
            <w:r>
              <w:t>1</w:t>
            </w:r>
          </w:p>
        </w:tc>
        <w:tc>
          <w:tcPr>
            <w:tcW w:w="2252" w:type="dxa"/>
            <w:vAlign w:val="top"/>
          </w:tcPr>
          <w:p w14:paraId="4F5AD559">
            <w:pPr>
              <w:pStyle w:val="33"/>
            </w:pPr>
            <w:r>
              <w:t>采购预算（实质性要求）</w:t>
            </w:r>
          </w:p>
        </w:tc>
        <w:tc>
          <w:tcPr>
            <w:tcW w:w="5184" w:type="dxa"/>
            <w:vAlign w:val="top"/>
          </w:tcPr>
          <w:p w14:paraId="682981FF">
            <w:pPr>
              <w:pStyle w:val="33"/>
            </w:pPr>
            <w:r>
              <w:t>本项目采购预算金额如下：</w:t>
            </w:r>
          </w:p>
          <w:p w14:paraId="0AE1719D">
            <w:pPr>
              <w:pStyle w:val="33"/>
            </w:pPr>
            <w:r>
              <w:rPr>
                <w:rFonts w:hint="eastAsia"/>
                <w:lang w:val="en-US" w:eastAsia="zh-CN"/>
              </w:rPr>
              <w:t>2700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33"/>
            </w:pPr>
            <w:r>
              <w:t>2</w:t>
            </w:r>
          </w:p>
        </w:tc>
        <w:tc>
          <w:tcPr>
            <w:tcW w:w="2252" w:type="dxa"/>
            <w:vAlign w:val="top"/>
          </w:tcPr>
          <w:p w14:paraId="6185B780">
            <w:pPr>
              <w:pStyle w:val="33"/>
            </w:pPr>
            <w:r>
              <w:t>最高限价（实质性要求）</w:t>
            </w:r>
          </w:p>
        </w:tc>
        <w:tc>
          <w:tcPr>
            <w:tcW w:w="5184" w:type="dxa"/>
            <w:vAlign w:val="top"/>
          </w:tcPr>
          <w:p w14:paraId="5F5861FF">
            <w:pPr>
              <w:pStyle w:val="33"/>
            </w:pPr>
            <w:r>
              <w:t>本项目采购预算金额如下：</w:t>
            </w:r>
          </w:p>
          <w:p w14:paraId="7015443D">
            <w:pPr>
              <w:pStyle w:val="33"/>
            </w:pPr>
            <w:r>
              <w:rPr>
                <w:rFonts w:hint="eastAsia"/>
                <w:lang w:val="en-US" w:eastAsia="zh-CN"/>
              </w:rPr>
              <w:t>2700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33"/>
            </w:pPr>
            <w:r>
              <w:t>3</w:t>
            </w:r>
          </w:p>
        </w:tc>
        <w:tc>
          <w:tcPr>
            <w:tcW w:w="2252" w:type="dxa"/>
          </w:tcPr>
          <w:p w14:paraId="793F13AE">
            <w:pPr>
              <w:pStyle w:val="33"/>
            </w:pPr>
            <w:r>
              <w:t>评审方法</w:t>
            </w:r>
          </w:p>
        </w:tc>
        <w:tc>
          <w:tcPr>
            <w:tcW w:w="5184" w:type="dxa"/>
          </w:tcPr>
          <w:p w14:paraId="300FA03F">
            <w:pPr>
              <w:pStyle w:val="33"/>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33"/>
            </w:pPr>
            <w:r>
              <w:t>4</w:t>
            </w:r>
          </w:p>
        </w:tc>
        <w:tc>
          <w:tcPr>
            <w:tcW w:w="2252" w:type="dxa"/>
          </w:tcPr>
          <w:p w14:paraId="1ABA0039">
            <w:pPr>
              <w:pStyle w:val="33"/>
            </w:pPr>
            <w:r>
              <w:t>是否接受联合体</w:t>
            </w:r>
          </w:p>
        </w:tc>
        <w:tc>
          <w:tcPr>
            <w:tcW w:w="5184" w:type="dxa"/>
          </w:tcPr>
          <w:p w14:paraId="0D4735AD">
            <w:pPr>
              <w:pStyle w:val="33"/>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33"/>
              <w:rPr>
                <w:rFonts w:hint="eastAsia" w:eastAsiaTheme="minorEastAsia"/>
                <w:lang w:eastAsia="zh-CN"/>
              </w:rPr>
            </w:pPr>
            <w:r>
              <w:rPr>
                <w:rFonts w:hint="eastAsia"/>
                <w:lang w:val="en-US" w:eastAsia="zh-CN"/>
              </w:rPr>
              <w:t>5</w:t>
            </w:r>
          </w:p>
        </w:tc>
        <w:tc>
          <w:tcPr>
            <w:tcW w:w="2252" w:type="dxa"/>
          </w:tcPr>
          <w:p w14:paraId="32FFC1D3">
            <w:pPr>
              <w:pStyle w:val="33"/>
            </w:pPr>
            <w:r>
              <w:t>小微企业（监狱企业、残疾人福利性单位视同小微企业）价格扣除</w:t>
            </w:r>
          </w:p>
        </w:tc>
        <w:tc>
          <w:tcPr>
            <w:tcW w:w="5184" w:type="dxa"/>
          </w:tcPr>
          <w:p w14:paraId="4FB24C1F">
            <w:pPr>
              <w:pStyle w:val="33"/>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33"/>
              <w:rPr>
                <w:rFonts w:hint="eastAsia" w:eastAsiaTheme="minorEastAsia"/>
                <w:lang w:eastAsia="zh-CN"/>
              </w:rPr>
            </w:pPr>
            <w:r>
              <w:rPr>
                <w:rFonts w:hint="eastAsia"/>
                <w:lang w:val="en-US" w:eastAsia="zh-CN"/>
              </w:rPr>
              <w:t>6</w:t>
            </w:r>
          </w:p>
        </w:tc>
        <w:tc>
          <w:tcPr>
            <w:tcW w:w="2252" w:type="dxa"/>
          </w:tcPr>
          <w:p w14:paraId="108EF02D">
            <w:pPr>
              <w:pStyle w:val="33"/>
            </w:pPr>
            <w:r>
              <w:t>充分、公平竞争保障措施（实质性要求）</w:t>
            </w:r>
          </w:p>
        </w:tc>
        <w:tc>
          <w:tcPr>
            <w:tcW w:w="5184" w:type="dxa"/>
          </w:tcPr>
          <w:p w14:paraId="2DCFD1AE">
            <w:pPr>
              <w:pStyle w:val="33"/>
            </w:pPr>
            <w:r>
              <w:t>核心产品允许有多个，不同供应商提供了任意一个相同品牌的核心产品，即视为提供相同品牌的供应商。</w:t>
            </w:r>
          </w:p>
          <w:p w14:paraId="3334D8E0">
            <w:pPr>
              <w:pStyle w:val="33"/>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33"/>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33"/>
              <w:rPr>
                <w:rFonts w:hint="eastAsia" w:eastAsiaTheme="minorEastAsia"/>
                <w:lang w:eastAsia="zh-CN"/>
              </w:rPr>
            </w:pPr>
            <w:r>
              <w:rPr>
                <w:rFonts w:hint="eastAsia"/>
                <w:lang w:val="en-US" w:eastAsia="zh-CN"/>
              </w:rPr>
              <w:t>7</w:t>
            </w:r>
          </w:p>
        </w:tc>
        <w:tc>
          <w:tcPr>
            <w:tcW w:w="2252" w:type="dxa"/>
          </w:tcPr>
          <w:p w14:paraId="325FD18C">
            <w:pPr>
              <w:pStyle w:val="33"/>
            </w:pPr>
            <w:r>
              <w:t>不正当竞争预防措施（实质性要求）</w:t>
            </w:r>
          </w:p>
        </w:tc>
        <w:tc>
          <w:tcPr>
            <w:tcW w:w="5184" w:type="dxa"/>
          </w:tcPr>
          <w:p w14:paraId="2A4C809C">
            <w:pPr>
              <w:pStyle w:val="33"/>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33"/>
              <w:rPr>
                <w:rFonts w:hint="eastAsia" w:eastAsiaTheme="minorEastAsia"/>
                <w:lang w:eastAsia="zh-CN"/>
              </w:rPr>
            </w:pPr>
            <w:r>
              <w:rPr>
                <w:rFonts w:hint="eastAsia"/>
                <w:lang w:val="en-US" w:eastAsia="zh-CN"/>
              </w:rPr>
              <w:t>8</w:t>
            </w:r>
          </w:p>
        </w:tc>
        <w:tc>
          <w:tcPr>
            <w:tcW w:w="2252" w:type="dxa"/>
          </w:tcPr>
          <w:p w14:paraId="5929B2F0">
            <w:pPr>
              <w:pStyle w:val="33"/>
            </w:pPr>
            <w:r>
              <w:rPr>
                <w:rFonts w:hint="eastAsia"/>
                <w:lang w:eastAsia="zh-CN"/>
              </w:rPr>
              <w:t>投标</w:t>
            </w:r>
            <w:r>
              <w:t>保证金</w:t>
            </w:r>
          </w:p>
        </w:tc>
        <w:tc>
          <w:tcPr>
            <w:tcW w:w="5184" w:type="dxa"/>
          </w:tcPr>
          <w:p w14:paraId="0C9E9559">
            <w:pPr>
              <w:pStyle w:val="33"/>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33"/>
              <w:rPr>
                <w:rFonts w:hint="eastAsia" w:eastAsiaTheme="minorEastAsia"/>
                <w:lang w:eastAsia="zh-CN"/>
              </w:rPr>
            </w:pPr>
            <w:r>
              <w:rPr>
                <w:rFonts w:hint="eastAsia"/>
                <w:lang w:val="en-US" w:eastAsia="zh-CN"/>
              </w:rPr>
              <w:t>9</w:t>
            </w:r>
          </w:p>
        </w:tc>
        <w:tc>
          <w:tcPr>
            <w:tcW w:w="2252" w:type="dxa"/>
          </w:tcPr>
          <w:p w14:paraId="667932E1">
            <w:pPr>
              <w:pStyle w:val="33"/>
            </w:pPr>
            <w:r>
              <w:t>履约保证金（实质性要求）</w:t>
            </w:r>
          </w:p>
        </w:tc>
        <w:tc>
          <w:tcPr>
            <w:tcW w:w="5184" w:type="dxa"/>
          </w:tcPr>
          <w:p w14:paraId="2768FC86">
            <w:pPr>
              <w:pStyle w:val="33"/>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33"/>
              <w:rPr>
                <w:rFonts w:hint="eastAsia" w:eastAsiaTheme="minorEastAsia"/>
                <w:lang w:eastAsia="zh-CN"/>
              </w:rPr>
            </w:pPr>
            <w:r>
              <w:t>1</w:t>
            </w:r>
            <w:r>
              <w:rPr>
                <w:rFonts w:hint="eastAsia"/>
                <w:lang w:val="en-US" w:eastAsia="zh-CN"/>
              </w:rPr>
              <w:t>0</w:t>
            </w:r>
          </w:p>
        </w:tc>
        <w:tc>
          <w:tcPr>
            <w:tcW w:w="2252" w:type="dxa"/>
          </w:tcPr>
          <w:p w14:paraId="7DEFF21A">
            <w:pPr>
              <w:pStyle w:val="33"/>
            </w:pPr>
            <w:r>
              <w:t>响应有效期（实质性要求）</w:t>
            </w:r>
          </w:p>
        </w:tc>
        <w:tc>
          <w:tcPr>
            <w:tcW w:w="5184" w:type="dxa"/>
          </w:tcPr>
          <w:p w14:paraId="73878C3A">
            <w:pPr>
              <w:pStyle w:val="33"/>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33"/>
              <w:rPr>
                <w:rFonts w:hint="eastAsia" w:eastAsiaTheme="minorEastAsia"/>
                <w:lang w:eastAsia="zh-CN"/>
              </w:rPr>
            </w:pPr>
            <w:r>
              <w:t>1</w:t>
            </w:r>
            <w:r>
              <w:rPr>
                <w:rFonts w:hint="eastAsia"/>
                <w:lang w:val="en-US" w:eastAsia="zh-CN"/>
              </w:rPr>
              <w:t>1</w:t>
            </w:r>
          </w:p>
        </w:tc>
        <w:tc>
          <w:tcPr>
            <w:tcW w:w="2252" w:type="dxa"/>
          </w:tcPr>
          <w:p w14:paraId="1C08820F">
            <w:pPr>
              <w:pStyle w:val="33"/>
            </w:pPr>
            <w:r>
              <w:t>采购结果公告</w:t>
            </w:r>
          </w:p>
        </w:tc>
        <w:tc>
          <w:tcPr>
            <w:tcW w:w="5184" w:type="dxa"/>
          </w:tcPr>
          <w:p w14:paraId="622A96AE">
            <w:pPr>
              <w:pStyle w:val="33"/>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33"/>
              <w:rPr>
                <w:rFonts w:hint="eastAsia" w:eastAsiaTheme="minorEastAsia"/>
                <w:lang w:eastAsia="zh-CN"/>
              </w:rPr>
            </w:pPr>
            <w:r>
              <w:t>1</w:t>
            </w:r>
            <w:r>
              <w:rPr>
                <w:rFonts w:hint="eastAsia"/>
                <w:lang w:val="en-US" w:eastAsia="zh-CN"/>
              </w:rPr>
              <w:t>2</w:t>
            </w:r>
          </w:p>
        </w:tc>
        <w:tc>
          <w:tcPr>
            <w:tcW w:w="2252" w:type="dxa"/>
          </w:tcPr>
          <w:p w14:paraId="1F8DE052">
            <w:pPr>
              <w:pStyle w:val="33"/>
            </w:pPr>
            <w:r>
              <w:t>成交通知书</w:t>
            </w:r>
          </w:p>
        </w:tc>
        <w:tc>
          <w:tcPr>
            <w:tcW w:w="5184" w:type="dxa"/>
          </w:tcPr>
          <w:p w14:paraId="3C28BCD6">
            <w:pPr>
              <w:pStyle w:val="33"/>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33"/>
              <w:rPr>
                <w:rFonts w:hint="default" w:eastAsiaTheme="minorEastAsia"/>
                <w:lang w:val="en-US" w:eastAsia="zh-CN"/>
              </w:rPr>
            </w:pPr>
            <w:r>
              <w:rPr>
                <w:rFonts w:hint="eastAsia"/>
                <w:lang w:val="en-US" w:eastAsia="zh-CN"/>
              </w:rPr>
              <w:t>13</w:t>
            </w:r>
          </w:p>
        </w:tc>
        <w:tc>
          <w:tcPr>
            <w:tcW w:w="2252" w:type="dxa"/>
          </w:tcPr>
          <w:p w14:paraId="381912E1">
            <w:pPr>
              <w:pStyle w:val="33"/>
            </w:pPr>
            <w:r>
              <w:t>进口产品</w:t>
            </w:r>
          </w:p>
        </w:tc>
        <w:tc>
          <w:tcPr>
            <w:tcW w:w="5184" w:type="dxa"/>
          </w:tcPr>
          <w:p w14:paraId="135BE7AA">
            <w:pPr>
              <w:pStyle w:val="33"/>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33"/>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17"/>
        <w:rPr>
          <w:rFonts w:hint="eastAsia" w:ascii="黑体" w:hAnsi="Arial" w:eastAsia="黑体" w:cs="Times New Roman"/>
          <w:b/>
          <w:bCs w:val="0"/>
          <w:kern w:val="2"/>
          <w:sz w:val="32"/>
          <w:szCs w:val="32"/>
          <w:lang w:val="en-US" w:eastAsia="zh-CN" w:bidi="ar-SA"/>
        </w:rPr>
      </w:pPr>
    </w:p>
    <w:p w14:paraId="5C62FDB1">
      <w:pPr>
        <w:pStyle w:val="3"/>
        <w:keepNext w:val="0"/>
        <w:keepLines w:val="0"/>
        <w:spacing w:before="0" w:after="0" w:line="400" w:lineRule="exact"/>
        <w:jc w:val="center"/>
        <w:rPr>
          <w:rFonts w:hint="eastAsia" w:ascii="黑体"/>
          <w:bCs w:val="0"/>
        </w:rPr>
      </w:pPr>
      <w:bookmarkStart w:id="6" w:name="_Toc17067"/>
      <w:bookmarkStart w:id="7" w:name="_Toc31240"/>
      <w:bookmarkStart w:id="8" w:name="_Toc15215"/>
      <w:bookmarkStart w:id="9" w:name="_Toc24295"/>
      <w:bookmarkStart w:id="10" w:name="_Toc13038"/>
      <w:r>
        <w:rPr>
          <w:rFonts w:hint="eastAsia" w:ascii="黑体"/>
          <w:bCs w:val="0"/>
        </w:rPr>
        <w:t>二、总  则</w:t>
      </w:r>
    </w:p>
    <w:p w14:paraId="74C36BB9">
      <w:pPr>
        <w:pStyle w:val="5"/>
        <w:keepNext w:val="0"/>
        <w:keepLines w:val="0"/>
        <w:spacing w:before="0" w:after="0" w:line="400" w:lineRule="exact"/>
        <w:ind w:firstLine="480" w:firstLineChars="200"/>
        <w:rPr>
          <w:rFonts w:hint="eastAsia" w:ascii="宋体" w:hAnsi="宋体"/>
          <w:sz w:val="24"/>
        </w:rPr>
      </w:pPr>
    </w:p>
    <w:p w14:paraId="1EAF8FC7">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5"/>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5"/>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7"/>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7"/>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7"/>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7"/>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7"/>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7"/>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p>
    <w:p w14:paraId="06964830">
      <w:pPr>
        <w:spacing w:line="400" w:lineRule="exact"/>
        <w:ind w:firstLine="480" w:firstLineChars="200"/>
        <w:rPr>
          <w:rFonts w:hint="eastAsia" w:ascii="宋体" w:hAnsi="宋体"/>
          <w:sz w:val="24"/>
        </w:rPr>
      </w:pPr>
      <w:r>
        <w:rPr>
          <w:rFonts w:hint="eastAsia" w:ascii="宋体" w:hAnsi="宋体"/>
          <w:sz w:val="24"/>
        </w:rPr>
        <w:t>5.6同一母公司的两家以上的子公司只能组成联合体参加本项目同一合同项下的采购活动，不得以不同供应商身份同时参加本项目同一合同项下的采购活动。</w:t>
      </w:r>
    </w:p>
    <w:p w14:paraId="05BB4035">
      <w:pPr>
        <w:pStyle w:val="27"/>
        <w:spacing w:line="400" w:lineRule="exact"/>
        <w:ind w:left="1" w:firstLine="480" w:firstLineChars="200"/>
        <w:rPr>
          <w:rFonts w:hint="eastAsia" w:hAnsi="宋体"/>
          <w:sz w:val="24"/>
        </w:rPr>
      </w:pPr>
      <w:r>
        <w:rPr>
          <w:rFonts w:hint="eastAsia" w:hAnsi="宋体"/>
          <w:sz w:val="24"/>
        </w:rPr>
        <w:t>5.8回避。采购活动中，采购人员及相关人员与供应商有下列利害关系之一的，应当回避：</w:t>
      </w:r>
    </w:p>
    <w:p w14:paraId="7BCB0ECC">
      <w:pPr>
        <w:pStyle w:val="27"/>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7"/>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7"/>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7"/>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7"/>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7"/>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7"/>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7"/>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7"/>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10"/>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10"/>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10"/>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5"/>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5"/>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4"/>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101174151"/>
      <w:bookmarkStart w:id="12" w:name="_Toc209847069"/>
      <w:bookmarkStart w:id="13" w:name="_Toc101250646"/>
      <w:bookmarkStart w:id="14" w:name="_Toc430773927"/>
      <w:bookmarkStart w:id="15" w:name="_Toc101338364"/>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9"/>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17"/>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2"/>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3"/>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33"/>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33"/>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33"/>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9"/>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9"/>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9"/>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9"/>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eastAsia"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lang w:val="en-US" w:eastAsia="zh-CN"/>
        </w:rPr>
        <w:t>：</w:t>
      </w:r>
      <w:r>
        <w:rPr>
          <w:rFonts w:hint="eastAsia" w:ascii="宋体" w:hAnsi="宋体" w:cs="Times New Roman"/>
          <w:b w:val="0"/>
          <w:bCs w:val="0"/>
          <w:sz w:val="24"/>
          <w:lang w:val="en-US" w:eastAsia="zh-CN"/>
        </w:rPr>
        <w:t>无</w:t>
      </w:r>
      <w:r>
        <w:rPr>
          <w:rFonts w:hint="eastAsia" w:ascii="宋体" w:hAnsi="宋体" w:eastAsia="宋体" w:cs="Times New Roman"/>
          <w:b w:val="0"/>
          <w:bCs w:val="0"/>
          <w:sz w:val="24"/>
          <w:lang w:val="en-US" w:eastAsia="zh-CN"/>
        </w:rPr>
        <w:t>。</w:t>
      </w:r>
    </w:p>
    <w:p w14:paraId="41FC2A9C">
      <w:pPr>
        <w:pStyle w:val="9"/>
        <w:spacing w:line="500" w:lineRule="exact"/>
        <w:ind w:firstLine="480" w:firstLineChars="200"/>
        <w:rPr>
          <w:rFonts w:hint="eastAsia" w:ascii="宋体" w:hAnsi="宋体" w:cs="宋体"/>
          <w:sz w:val="24"/>
          <w:szCs w:val="24"/>
        </w:rPr>
      </w:pPr>
    </w:p>
    <w:p w14:paraId="3F3D25DD">
      <w:pPr>
        <w:pStyle w:val="17"/>
        <w:rPr>
          <w:rFonts w:hint="eastAsia" w:ascii="宋体" w:hAnsi="宋体" w:eastAsia="宋体" w:cs="宋体"/>
          <w:sz w:val="24"/>
          <w:szCs w:val="24"/>
        </w:rPr>
      </w:pPr>
    </w:p>
    <w:p w14:paraId="544024E2">
      <w:pPr>
        <w:pStyle w:val="3"/>
        <w:keepNext w:val="0"/>
        <w:keepLines w:val="0"/>
        <w:spacing w:before="0" w:after="0" w:line="400" w:lineRule="exact"/>
        <w:rPr>
          <w:rFonts w:hint="eastAsia" w:ascii="宋体" w:hAnsi="宋体" w:eastAsia="宋体" w:cs="宋体"/>
          <w:sz w:val="24"/>
          <w:szCs w:val="24"/>
        </w:rPr>
      </w:pPr>
    </w:p>
    <w:p w14:paraId="3C62F245">
      <w:pPr>
        <w:pStyle w:val="3"/>
        <w:keepNext w:val="0"/>
        <w:keepLines w:val="0"/>
        <w:spacing w:before="0" w:after="0" w:line="400" w:lineRule="exact"/>
        <w:rPr>
          <w:rFonts w:hint="eastAsia" w:ascii="宋体" w:hAnsi="宋体" w:eastAsia="宋体" w:cs="宋体"/>
          <w:sz w:val="24"/>
          <w:szCs w:val="24"/>
        </w:rPr>
      </w:pPr>
    </w:p>
    <w:p w14:paraId="07B84307">
      <w:pPr>
        <w:pStyle w:val="3"/>
        <w:keepNext w:val="0"/>
        <w:keepLines w:val="0"/>
        <w:spacing w:before="0" w:after="0" w:line="400" w:lineRule="exact"/>
        <w:rPr>
          <w:rFonts w:hint="eastAsia" w:ascii="宋体" w:hAnsi="宋体" w:eastAsia="宋体" w:cs="宋体"/>
          <w:sz w:val="24"/>
          <w:szCs w:val="24"/>
        </w:rPr>
      </w:pPr>
    </w:p>
    <w:p w14:paraId="20D9903E">
      <w:pPr>
        <w:pStyle w:val="3"/>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3"/>
        <w:keepNext w:val="0"/>
        <w:keepLines w:val="0"/>
        <w:numPr>
          <w:ilvl w:val="0"/>
          <w:numId w:val="4"/>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3"/>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183682368"/>
      <w:bookmarkStart w:id="17" w:name="_Toc77400782"/>
      <w:bookmarkStart w:id="18" w:name="_Toc183582231"/>
      <w:bookmarkStart w:id="19" w:name="_Toc217446056"/>
      <w:bookmarkStart w:id="20" w:name="_Toc89075878"/>
    </w:p>
    <w:bookmarkEnd w:id="16"/>
    <w:bookmarkEnd w:id="17"/>
    <w:bookmarkEnd w:id="18"/>
    <w:bookmarkEnd w:id="19"/>
    <w:bookmarkEnd w:id="20"/>
    <w:p w14:paraId="689A78B9">
      <w:pPr>
        <w:numPr>
          <w:ilvl w:val="0"/>
          <w:numId w:val="5"/>
        </w:numPr>
        <w:spacing w:line="440" w:lineRule="exact"/>
        <w:ind w:left="0" w:leftChars="0" w:firstLine="0" w:firstLineChars="0"/>
        <w:jc w:val="center"/>
        <w:rPr>
          <w:rFonts w:hint="eastAsia" w:ascii="黑体" w:hAnsi="宋体" w:eastAsia="黑体"/>
          <w:b/>
          <w:sz w:val="32"/>
          <w:szCs w:val="32"/>
        </w:rPr>
      </w:pPr>
      <w:bookmarkStart w:id="21" w:name="_Toc2129"/>
      <w:bookmarkStart w:id="22" w:name="_Toc22325"/>
      <w:bookmarkStart w:id="23" w:name="_Toc183682369"/>
      <w:bookmarkStart w:id="24" w:name="_Toc183582232"/>
      <w:bookmarkStart w:id="25" w:name="_Toc217446057"/>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9"/>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2323"/>
      <w:bookmarkStart w:id="27" w:name="_Toc31907"/>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w:t>
      </w:r>
      <w:bookmarkEnd w:id="26"/>
      <w:bookmarkEnd w:id="27"/>
      <w:bookmarkStart w:id="28" w:name="_Toc3397"/>
      <w:bookmarkStart w:id="29" w:name="_Toc27680"/>
      <w:r>
        <w:rPr>
          <w:sz w:val="24"/>
          <w:szCs w:val="32"/>
        </w:rPr>
        <w:t>邻水县人民医院拟对</w:t>
      </w:r>
      <w:r>
        <w:rPr>
          <w:rFonts w:hint="eastAsia" w:cs="Times New Roman"/>
          <w:sz w:val="24"/>
          <w:szCs w:val="32"/>
          <w:lang w:eastAsia="zh-CN"/>
        </w:rPr>
        <w:t>智能化病历内涵质控系统（AI质控）</w:t>
      </w:r>
      <w:r>
        <w:rPr>
          <w:rFonts w:ascii="Times New Roman" w:hAnsi="Times New Roman" w:eastAsia="宋体" w:cs="Times New Roman"/>
          <w:sz w:val="24"/>
          <w:szCs w:val="32"/>
        </w:rPr>
        <w:t>进行询</w:t>
      </w:r>
      <w:r>
        <w:rPr>
          <w:sz w:val="24"/>
          <w:szCs w:val="32"/>
        </w:rPr>
        <w:t>价采购，兹邀请供应商参加询价</w:t>
      </w:r>
      <w:r>
        <w:rPr>
          <w:rFonts w:hint="eastAsia" w:ascii="宋体" w:hAnsi="宋体" w:eastAsia="宋体" w:cs="宋体"/>
          <w:kern w:val="2"/>
          <w:sz w:val="24"/>
          <w:szCs w:val="24"/>
          <w:lang w:val="en-US" w:eastAsia="zh-CN" w:bidi="ar-SA"/>
        </w:rPr>
        <w:t>。</w:t>
      </w:r>
    </w:p>
    <w:p w14:paraId="60E1A34C">
      <w:pPr>
        <w:numPr>
          <w:ilvl w:val="0"/>
          <w:numId w:val="0"/>
        </w:numPr>
        <w:spacing w:line="440" w:lineRule="exact"/>
        <w:ind w:firstLine="562" w:firstLineChars="200"/>
        <w:rPr>
          <w:rFonts w:hint="eastAsia" w:ascii="宋体" w:hAnsi="宋体" w:cs="宋体"/>
          <w:b/>
          <w:bCs/>
          <w:color w:val="000000"/>
          <w:sz w:val="28"/>
          <w:szCs w:val="28"/>
          <w:lang w:val="en-US" w:eastAsia="zh-CN"/>
        </w:rPr>
      </w:pPr>
      <w:r>
        <w:rPr>
          <w:rFonts w:hint="eastAsia" w:ascii="宋体" w:hAnsi="宋体" w:cs="宋体"/>
          <w:b/>
          <w:bCs/>
          <w:color w:val="000000"/>
          <w:sz w:val="28"/>
          <w:szCs w:val="28"/>
          <w:lang w:val="en-US" w:eastAsia="zh-CN"/>
        </w:rPr>
        <w:t>二、项目清单</w:t>
      </w:r>
    </w:p>
    <w:tbl>
      <w:tblPr>
        <w:tblStyle w:val="19"/>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4"/>
        <w:gridCol w:w="3991"/>
        <w:gridCol w:w="1056"/>
        <w:gridCol w:w="1032"/>
        <w:gridCol w:w="1082"/>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jc w:val="center"/>
        </w:trPr>
        <w:tc>
          <w:tcPr>
            <w:tcW w:w="1004" w:type="dxa"/>
            <w:vAlign w:val="center"/>
          </w:tcPr>
          <w:p w14:paraId="3FC94F68">
            <w:pPr>
              <w:pStyle w:val="3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3991" w:type="dxa"/>
            <w:vAlign w:val="center"/>
          </w:tcPr>
          <w:p w14:paraId="5DA4803A">
            <w:pPr>
              <w:pStyle w:val="3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1056" w:type="dxa"/>
            <w:vAlign w:val="center"/>
          </w:tcPr>
          <w:p w14:paraId="5CCD3DA3">
            <w:pPr>
              <w:pStyle w:val="33"/>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1032" w:type="dxa"/>
            <w:vAlign w:val="center"/>
          </w:tcPr>
          <w:p w14:paraId="048BF901">
            <w:pPr>
              <w:pStyle w:val="33"/>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082" w:type="dxa"/>
            <w:vAlign w:val="center"/>
          </w:tcPr>
          <w:p w14:paraId="0175EE46">
            <w:pPr>
              <w:pStyle w:val="33"/>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1004" w:type="dxa"/>
            <w:vAlign w:val="center"/>
          </w:tcPr>
          <w:p w14:paraId="24C46B15">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3991" w:type="dxa"/>
            <w:vAlign w:val="center"/>
          </w:tcPr>
          <w:p w14:paraId="2DA204F4">
            <w:pPr>
              <w:adjustRightInd w:val="0"/>
              <w:snapToGrid w:val="0"/>
              <w:spacing w:line="400" w:lineRule="exact"/>
              <w:jc w:val="center"/>
              <w:rPr>
                <w:rFonts w:hint="eastAsia" w:asciiTheme="minorEastAsia" w:hAnsiTheme="minorEastAsia" w:eastAsiaTheme="minorEastAsia" w:cstheme="minorEastAsia"/>
                <w:kern w:val="0"/>
                <w:sz w:val="22"/>
                <w:szCs w:val="22"/>
                <w:lang w:val="en-US" w:eastAsia="zh-CN"/>
              </w:rPr>
            </w:pPr>
            <w:r>
              <w:rPr>
                <w:rFonts w:hint="eastAsia" w:ascii="宋体" w:hAnsi="宋体" w:cs="宋体"/>
                <w:color w:val="auto"/>
                <w:kern w:val="0"/>
                <w:sz w:val="24"/>
                <w:szCs w:val="24"/>
                <w:highlight w:val="none"/>
                <w:u w:val="none"/>
                <w:lang w:val="en-US" w:eastAsia="zh-CN"/>
              </w:rPr>
              <w:t>智能化病历内涵质控系统（AI质控）</w:t>
            </w:r>
          </w:p>
        </w:tc>
        <w:tc>
          <w:tcPr>
            <w:tcW w:w="1056" w:type="dxa"/>
            <w:vAlign w:val="center"/>
          </w:tcPr>
          <w:p w14:paraId="7C57371F">
            <w:pPr>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宋体" w:hAnsi="宋体" w:cs="宋体"/>
                <w:b w:val="0"/>
                <w:bCs w:val="0"/>
                <w:color w:val="auto"/>
                <w:sz w:val="24"/>
                <w:szCs w:val="24"/>
                <w:lang w:val="en-US" w:eastAsia="zh-CN"/>
              </w:rPr>
              <w:t>套</w:t>
            </w:r>
          </w:p>
        </w:tc>
        <w:tc>
          <w:tcPr>
            <w:tcW w:w="1032" w:type="dxa"/>
            <w:tcBorders>
              <w:top w:val="single" w:color="auto" w:sz="4" w:space="0"/>
              <w:bottom w:val="single" w:color="auto" w:sz="4" w:space="0"/>
            </w:tcBorders>
            <w:vAlign w:val="center"/>
          </w:tcPr>
          <w:p w14:paraId="653E54DD">
            <w:pPr>
              <w:adjustRightInd w:val="0"/>
              <w:snapToGrid w:val="0"/>
              <w:spacing w:line="400" w:lineRule="exact"/>
              <w:jc w:val="center"/>
              <w:rPr>
                <w:rFonts w:hint="eastAsia" w:asciiTheme="minorEastAsia" w:hAnsiTheme="minorEastAsia" w:eastAsiaTheme="minorEastAsia" w:cstheme="minorEastAsia"/>
                <w:sz w:val="22"/>
                <w:szCs w:val="22"/>
                <w:lang w:eastAsia="zh-CN"/>
              </w:rPr>
            </w:pPr>
            <w:r>
              <w:rPr>
                <w:rFonts w:hint="eastAsia" w:ascii="宋体" w:hAnsi="宋体" w:cs="宋体"/>
                <w:color w:val="auto"/>
                <w:kern w:val="0"/>
                <w:sz w:val="24"/>
                <w:szCs w:val="24"/>
                <w:highlight w:val="none"/>
                <w:u w:val="none"/>
                <w:lang w:val="en-US" w:eastAsia="zh-CN"/>
              </w:rPr>
              <w:t>1</w:t>
            </w:r>
          </w:p>
        </w:tc>
        <w:tc>
          <w:tcPr>
            <w:tcW w:w="1082" w:type="dxa"/>
            <w:tcBorders>
              <w:top w:val="single" w:color="auto" w:sz="4" w:space="0"/>
              <w:bottom w:val="single" w:color="auto" w:sz="4" w:space="0"/>
            </w:tcBorders>
            <w:vAlign w:val="center"/>
          </w:tcPr>
          <w:p w14:paraId="1CFDF64B">
            <w:pPr>
              <w:pStyle w:val="33"/>
              <w:jc w:val="center"/>
              <w:rPr>
                <w:rFonts w:hint="eastAsia" w:asciiTheme="minorEastAsia" w:hAnsiTheme="minorEastAsia" w:eastAsiaTheme="minorEastAsia" w:cstheme="minorEastAsia"/>
                <w:sz w:val="22"/>
                <w:szCs w:val="22"/>
              </w:rPr>
            </w:pPr>
          </w:p>
        </w:tc>
      </w:tr>
    </w:tbl>
    <w:p w14:paraId="2AE89240">
      <w:pPr>
        <w:pStyle w:val="3"/>
        <w:spacing w:line="400" w:lineRule="exact"/>
        <w:ind w:firstLine="562" w:firstLineChars="200"/>
        <w:rPr>
          <w:rFonts w:hint="eastAsia" w:ascii="宋体" w:hAnsi="宋体"/>
          <w:b/>
          <w:bCs/>
          <w:color w:val="000000"/>
          <w:sz w:val="28"/>
          <w:szCs w:val="28"/>
        </w:rPr>
      </w:pPr>
      <w:r>
        <w:rPr>
          <w:rFonts w:hint="eastAsia" w:ascii="宋体" w:hAnsi="宋体" w:eastAsia="宋体" w:cs="宋体"/>
          <w:b/>
          <w:bCs/>
          <w:color w:val="000000"/>
          <w:kern w:val="2"/>
          <w:sz w:val="28"/>
          <w:szCs w:val="28"/>
          <w:lang w:val="en-US" w:eastAsia="zh-CN" w:bidi="ar-SA"/>
        </w:rPr>
        <w:t>三、项目要求</w:t>
      </w:r>
    </w:p>
    <w:p w14:paraId="56857DB2">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cs="宋体"/>
          <w:bCs/>
          <w:sz w:val="28"/>
          <w:szCs w:val="28"/>
        </w:rPr>
      </w:pPr>
      <w:r>
        <w:rPr>
          <w:rFonts w:hint="eastAsia" w:ascii="宋体" w:hAnsi="宋体" w:eastAsia="宋体" w:cs="宋体"/>
          <w:b/>
          <w:bCs/>
          <w:color w:val="auto"/>
          <w:kern w:val="2"/>
          <w:sz w:val="24"/>
          <w:szCs w:val="24"/>
          <w:lang w:val="en-US" w:eastAsia="zh-CN" w:bidi="ar-SA"/>
        </w:rPr>
        <w:t>（一）技术要求</w:t>
      </w:r>
      <w:r>
        <w:rPr>
          <w:rFonts w:hint="eastAsia" w:ascii="宋体" w:hAnsi="宋体" w:cs="宋体"/>
          <w:b w:val="0"/>
          <w:bCs w:val="0"/>
          <w:color w:val="auto"/>
          <w:kern w:val="2"/>
          <w:sz w:val="24"/>
          <w:szCs w:val="24"/>
          <w:lang w:val="en-US" w:eastAsia="zh-CN" w:bidi="ar-SA"/>
        </w:rPr>
        <w:t>（全部为实质性要求，不允许负偏离）</w:t>
      </w:r>
    </w:p>
    <w:p w14:paraId="092A2F5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1.数据集成服务</w:t>
      </w:r>
    </w:p>
    <w:p w14:paraId="7578E7C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1.1支持与集成平台对接；</w:t>
      </w:r>
    </w:p>
    <w:p w14:paraId="14AC228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1.2支持与数据中心对接；</w:t>
      </w:r>
    </w:p>
    <w:p w14:paraId="36D8261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1.3支持实时对接医院业务系统API接口。</w:t>
      </w:r>
    </w:p>
    <w:p w14:paraId="5ED4BBB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2.数据处理服务</w:t>
      </w:r>
    </w:p>
    <w:p w14:paraId="2C3E84C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2.1文档规范化处理服务</w:t>
      </w:r>
    </w:p>
    <w:p w14:paraId="2604C0C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支持建立文档规范化处理体系。对于不规范病历相关文书，通过自然语言处理和特征识别，进行文档规范化整理。</w:t>
      </w:r>
    </w:p>
    <w:p w14:paraId="13B5F8C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2.2数据预处理与清洗服务</w:t>
      </w:r>
    </w:p>
    <w:p w14:paraId="1167424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支持建立数据预处理和数据清洗体系，包含格式转换、去除冗余、数据填补、数据映射、不规范数据转换为标准化数据存储、数据纠正。</w:t>
      </w:r>
    </w:p>
    <w:p w14:paraId="745AD18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2.3数据抽取与融合服务</w:t>
      </w:r>
    </w:p>
    <w:p w14:paraId="4C0EAD9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2.3.1支持建立数据抽取体系，实现对住院病历、门诊病历、医嘱、检查报告、检验报告、病理报告、护理文书、手麻数据、危急值数据、费用数据进行近期同步数据抽取和增量抽取；</w:t>
      </w:r>
    </w:p>
    <w:p w14:paraId="127E544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2.3.2支持建立数据融合处理体系，通过数据之间的关系进行数据融合。</w:t>
      </w:r>
    </w:p>
    <w:p w14:paraId="2B12D31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2.4数据加工处理监控服务</w:t>
      </w:r>
    </w:p>
    <w:p w14:paraId="452E793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支持建立建设数据加工处理监控平台，透明化监控从数据抽取、数据融合、后结构化处理以及标准化处理过程日志，实现数据一致性核查和异常处理。</w:t>
      </w:r>
    </w:p>
    <w:p w14:paraId="29E1F5D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3.自然语言处理与后结构化服务</w:t>
      </w:r>
    </w:p>
    <w:p w14:paraId="0960E66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3.1自然语言处理服务</w:t>
      </w:r>
    </w:p>
    <w:p w14:paraId="27ACC38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提供建设自然语言处理体系。通过自然语言分词以及上下文语义识别，利用机器学习结合数据模型实现对自由文本病历、检查报告、护理记录、费用等的全量数据后结构化处理。</w:t>
      </w:r>
    </w:p>
    <w:p w14:paraId="2A6D345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3.2语料库</w:t>
      </w:r>
    </w:p>
    <w:p w14:paraId="07094D2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支持利用人工加机器的方法，不断将词汇进行正确的归类，实现知识语料库的不断丰富，提高数据利用的准确程度。</w:t>
      </w:r>
    </w:p>
    <w:p w14:paraId="2985CC2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3.3自然语义处理与后结构化</w:t>
      </w:r>
    </w:p>
    <w:p w14:paraId="17FEEC9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通过自然语义理解，对自由文本的内容进行实体处理和抽取，形成后结构化的文本段落，提高数据利用能力。</w:t>
      </w:r>
    </w:p>
    <w:p w14:paraId="313DDF4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4.医学知识图谱应用</w:t>
      </w:r>
    </w:p>
    <w:p w14:paraId="6BB5EB1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4.1基于强大知识图谱，质控规则能够对检验检查等结果是否异常进行判断，从而更好的进行逻辑判断。</w:t>
      </w:r>
    </w:p>
    <w:p w14:paraId="0199226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4.2目前图谱收录了症状、体征、部位、药品、检验检查等百万级实体，并构建了千万级的实体关系。</w:t>
      </w:r>
    </w:p>
    <w:p w14:paraId="0EC414E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4.3知识图谱除覆盖西医内容外，还对中医中药等民族医药内容进行了收录。</w:t>
      </w:r>
    </w:p>
    <w:p w14:paraId="7DC086B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5.服务监控平台</w:t>
      </w:r>
    </w:p>
    <w:p w14:paraId="7FA1DA6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5.1一键部署</w:t>
      </w:r>
    </w:p>
    <w:p w14:paraId="09DC31E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支持建立一键部署功能，通过前端界面可对质控服务进行启停用；</w:t>
      </w:r>
    </w:p>
    <w:p w14:paraId="7EB70A7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5.2权限认证</w:t>
      </w:r>
    </w:p>
    <w:p w14:paraId="0DEFA3F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5.2.1支持建立多层级数据权限管理体系，实现通过多层级账号和安全体系设置；</w:t>
      </w:r>
    </w:p>
    <w:p w14:paraId="269BB45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5.2.2支持建立系统安全体系，包含网络访问安全、系统安全、数据安全、管理安全体系；</w:t>
      </w:r>
    </w:p>
    <w:p w14:paraId="6D23930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5.2.3支持建立敏感数据脱敏体系，根据HIPAA及国家相关要求进行敏感数据管理。</w:t>
      </w:r>
    </w:p>
    <w:p w14:paraId="6673769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5.3产品服务监控</w:t>
      </w:r>
    </w:p>
    <w:p w14:paraId="71F6649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5.3.1支持建立产品服务监控平台，透明化监控从产品后台服务、数据抽取服务、自然语言处理服务以及知识库服务的各过程日志，实现服务异常提醒可视化。</w:t>
      </w:r>
    </w:p>
    <w:p w14:paraId="3CDD8A8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5.3.2数据抽取任务异常等不良事件，通过与院内消息平台对接，实现消息提醒功能，对现场实施人员进行报警，便于问题快速跟进。</w:t>
      </w:r>
    </w:p>
    <w:p w14:paraId="4405B6F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6.数据存储与备份</w:t>
      </w:r>
    </w:p>
    <w:p w14:paraId="29E2BC1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 xml:space="preserve">6.1数据存储 </w:t>
      </w:r>
    </w:p>
    <w:p w14:paraId="06E0918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6.1.1为了保证系统稳定，系统内病历数据与质控结果数据独立存储，实现了数据解耦，同时达到节省磁盘空间效果；</w:t>
      </w:r>
    </w:p>
    <w:p w14:paraId="5A62F02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6.2.2系统内对质控结果进行分段式存储，在满足近期高频数据的快速查询同时，确保低频历史数据不会丢失。</w:t>
      </w:r>
    </w:p>
    <w:p w14:paraId="4184590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6.2数据备份</w:t>
      </w:r>
    </w:p>
    <w:p w14:paraId="2B7AD56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每日对质控结果进行备份，可回复任意7日内的历史数据，降低服务器断电等事故发生后的影响，符合电子病历应用水平分级评价标准中数据安全要求。</w:t>
      </w:r>
    </w:p>
    <w:p w14:paraId="67D74BD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7</w:t>
      </w:r>
      <w:r>
        <w:rPr>
          <w:rFonts w:hint="eastAsia" w:ascii="宋体" w:hAnsi="宋体" w:eastAsia="宋体" w:cs="Times New Roman"/>
          <w:color w:val="000000"/>
          <w:kern w:val="2"/>
          <w:sz w:val="24"/>
          <w:szCs w:val="24"/>
          <w:lang w:val="en-US" w:eastAsia="zh-CN" w:bidi="ar-SA"/>
        </w:rPr>
        <w:t>病历内涵质控功能</w:t>
      </w:r>
    </w:p>
    <w:p w14:paraId="0D7F3FE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7.1</w:t>
      </w:r>
      <w:r>
        <w:rPr>
          <w:rFonts w:hint="eastAsia" w:ascii="宋体" w:hAnsi="宋体" w:eastAsia="宋体" w:cs="Times New Roman"/>
          <w:color w:val="000000"/>
          <w:kern w:val="2"/>
          <w:sz w:val="24"/>
          <w:szCs w:val="24"/>
          <w:lang w:val="en-US" w:eastAsia="zh-CN" w:bidi="ar-SA"/>
        </w:rPr>
        <w:t>住院端内涵质控</w:t>
      </w:r>
    </w:p>
    <w:p w14:paraId="57505D1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7.1.1</w:t>
      </w:r>
      <w:r>
        <w:rPr>
          <w:rFonts w:hint="eastAsia" w:ascii="宋体" w:hAnsi="宋体" w:eastAsia="宋体" w:cs="Times New Roman"/>
          <w:color w:val="000000"/>
          <w:kern w:val="2"/>
          <w:sz w:val="24"/>
          <w:szCs w:val="24"/>
          <w:lang w:val="en-US" w:eastAsia="zh-CN" w:bidi="ar-SA"/>
        </w:rPr>
        <w:t>医生端质控</w:t>
      </w:r>
    </w:p>
    <w:p w14:paraId="0DDC770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cs="Times New Roman"/>
          <w:color w:val="auto"/>
          <w:kern w:val="2"/>
          <w:sz w:val="24"/>
          <w:szCs w:val="24"/>
          <w:lang w:val="en-US" w:eastAsia="zh-CN" w:bidi="ar-SA"/>
        </w:rPr>
        <w:t>7.1.1.1</w:t>
      </w:r>
      <w:r>
        <w:rPr>
          <w:rFonts w:hint="eastAsia" w:ascii="宋体" w:hAnsi="宋体" w:eastAsia="宋体" w:cs="Times New Roman"/>
          <w:color w:val="auto"/>
          <w:kern w:val="2"/>
          <w:sz w:val="24"/>
          <w:szCs w:val="24"/>
          <w:lang w:val="en-US" w:eastAsia="zh-CN" w:bidi="ar-SA"/>
        </w:rPr>
        <w:t>医生端提醒</w:t>
      </w:r>
    </w:p>
    <w:p w14:paraId="4B2D141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支持在电子病历系统中外挂‘智能浮窗程序’，达成对临床住院医生实时提醒病历质量问题功能；</w:t>
      </w:r>
    </w:p>
    <w:p w14:paraId="21B32903">
      <w:pPr>
        <w:keepNext w:val="0"/>
        <w:keepLines w:val="0"/>
        <w:pageBreakBefore w:val="0"/>
        <w:widowControl w:val="0"/>
        <w:numPr>
          <w:ilvl w:val="0"/>
          <w:numId w:val="0"/>
        </w:numPr>
        <w:kinsoku/>
        <w:wordWrap/>
        <w:overflowPunct w:val="0"/>
        <w:topLinePunct w:val="0"/>
        <w:autoSpaceDE/>
        <w:autoSpaceDN/>
        <w:bidi w:val="0"/>
        <w:adjustRightInd w:val="0"/>
        <w:snapToGrid/>
        <w:spacing w:line="380" w:lineRule="exact"/>
        <w:ind w:leftChars="0"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支持医生进入本人/本科所属患者列表时，实时推荐AI质控出的问题患者列表；</w:t>
      </w:r>
    </w:p>
    <w:p w14:paraId="35D8617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支持医生打开患者病历时，实时提醒该患者所有文书问题缺陷；</w:t>
      </w:r>
    </w:p>
    <w:p w14:paraId="5C3BBB5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支持医生在患者出院时，对病案首页及其他病历内容进行全面质量核查；</w:t>
      </w:r>
    </w:p>
    <w:p w14:paraId="2C1EEBB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支持医生书写入院记录、病程记录、手术记录、出院记录、死亡记录等住院病历文书时，质控出对应文书问题缺陷；</w:t>
      </w:r>
    </w:p>
    <w:p w14:paraId="445F4E3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支持实时展示各文书缺陷内容详情，包括：缺陷项扣分值、缺陷项内容、缺陷问题明细；</w:t>
      </w:r>
    </w:p>
    <w:p w14:paraId="17BA544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支持在智能浮窗程序显示核心制度患者标签，如死亡、手术、会诊、高危、长期住院；</w:t>
      </w:r>
    </w:p>
    <w:p w14:paraId="5AC037C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支持医生AI提醒的质控缺陷项进行问题反馈，同时支持录入反馈原因，且反馈问题原因需维护为选项便于医生操作。</w:t>
      </w:r>
    </w:p>
    <w:p w14:paraId="21B5484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7.1.1.2</w:t>
      </w:r>
      <w:r>
        <w:rPr>
          <w:rFonts w:hint="eastAsia" w:ascii="宋体" w:hAnsi="宋体" w:eastAsia="宋体" w:cs="Times New Roman"/>
          <w:color w:val="auto"/>
          <w:kern w:val="2"/>
          <w:sz w:val="24"/>
          <w:szCs w:val="24"/>
          <w:lang w:val="en-US" w:eastAsia="zh-CN" w:bidi="ar-SA"/>
        </w:rPr>
        <w:t>医生端预警</w:t>
      </w:r>
    </w:p>
    <w:p w14:paraId="4B18BA2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支持在电子病历系统中外挂‘智能浮窗程序’，达成对临床住院医生提前告知待办书写事项功能；</w:t>
      </w:r>
    </w:p>
    <w:p w14:paraId="7C7BF91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支持医师打开患者病历时，预警该患者待书写病历、未完成病历；</w:t>
      </w:r>
    </w:p>
    <w:p w14:paraId="12BA773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支持医师打开患者病历时，预警各文书待书写内容，待书写内容需通过分析医嘱、检查检验的临床数据再进行有效预警；</w:t>
      </w:r>
    </w:p>
    <w:p w14:paraId="7B5E7DF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支持医生对AI预警结果进行反馈，同时支持录入反馈原因，且反馈问题原因需维护为选项便于医生操作。</w:t>
      </w:r>
    </w:p>
    <w:p w14:paraId="4F6F65A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医生端通知</w:t>
      </w:r>
    </w:p>
    <w:p w14:paraId="621C493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支持在电子病历系统中外挂‘智能浮窗程序’，达成环节或终末质控员通知临床住院医生对病案缺陷进行整改的功能；</w:t>
      </w:r>
    </w:p>
    <w:p w14:paraId="178D3BC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支持医师打开患者病历时，查看当前病案接收到的通知消息；</w:t>
      </w:r>
    </w:p>
    <w:p w14:paraId="52E9175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支持医师打开病历列表时，查看非打开患者通知消息。</w:t>
      </w:r>
    </w:p>
    <w:p w14:paraId="6B4B598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 xml:space="preserve">7.1.1.3 </w:t>
      </w:r>
      <w:r>
        <w:rPr>
          <w:rFonts w:hint="eastAsia" w:ascii="宋体" w:hAnsi="宋体" w:eastAsia="宋体" w:cs="Times New Roman"/>
          <w:color w:val="auto"/>
          <w:kern w:val="2"/>
          <w:sz w:val="24"/>
          <w:szCs w:val="24"/>
          <w:lang w:val="en-US" w:eastAsia="zh-CN" w:bidi="ar-SA"/>
        </w:rPr>
        <w:t>EMR医师书写端集成</w:t>
      </w:r>
    </w:p>
    <w:p w14:paraId="758103B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支持与电子病历系统进行住院医生临床书写端集成；</w:t>
      </w:r>
    </w:p>
    <w:p w14:paraId="08E0727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支持实时API对接电子病历临床书写数据等；</w:t>
      </w:r>
    </w:p>
    <w:p w14:paraId="30AF89A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支持提供实时API对接文档。</w:t>
      </w:r>
    </w:p>
    <w:p w14:paraId="782BBA8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7.1.2</w:t>
      </w:r>
      <w:r>
        <w:rPr>
          <w:rFonts w:hint="eastAsia" w:ascii="宋体" w:hAnsi="宋体" w:eastAsia="宋体" w:cs="Times New Roman"/>
          <w:color w:val="auto"/>
          <w:kern w:val="2"/>
          <w:sz w:val="24"/>
          <w:szCs w:val="24"/>
          <w:lang w:val="en-US" w:eastAsia="zh-CN" w:bidi="ar-SA"/>
        </w:rPr>
        <w:t>医生端监控</w:t>
      </w:r>
    </w:p>
    <w:p w14:paraId="0D0B9AD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支持实时监控全院、各科室内临床工作内容，包括在院患者数、医生端病历问题数、医生端修改病历数；</w:t>
      </w:r>
    </w:p>
    <w:p w14:paraId="076D690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支持实时统计文书问题，包含文书问题排行；</w:t>
      </w:r>
    </w:p>
    <w:p w14:paraId="3A5D559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支持实时统计科室问题，包含科室问题排行；</w:t>
      </w:r>
    </w:p>
    <w:p w14:paraId="7AB6F22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支持实时统计各类病历问题报表，包含文书问题报表、科室问题报表；</w:t>
      </w:r>
    </w:p>
    <w:p w14:paraId="0ECB625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支持查看医生端问题患者详情，可查看各临床医师书写病历内容与问题详情；</w:t>
      </w:r>
    </w:p>
    <w:p w14:paraId="7B92CBE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支持导出相关统计报表。</w:t>
      </w:r>
    </w:p>
    <w:p w14:paraId="43BD064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7.2</w:t>
      </w:r>
      <w:r>
        <w:rPr>
          <w:rFonts w:hint="eastAsia" w:ascii="宋体" w:hAnsi="宋体" w:eastAsia="宋体" w:cs="Times New Roman"/>
          <w:color w:val="auto"/>
          <w:kern w:val="2"/>
          <w:sz w:val="24"/>
          <w:szCs w:val="24"/>
          <w:lang w:val="en-US" w:eastAsia="zh-CN" w:bidi="ar-SA"/>
        </w:rPr>
        <w:t>环节质控</w:t>
      </w:r>
    </w:p>
    <w:p w14:paraId="5602C45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7.2.1</w:t>
      </w:r>
      <w:r>
        <w:rPr>
          <w:rFonts w:hint="eastAsia" w:ascii="宋体" w:hAnsi="宋体" w:eastAsia="宋体" w:cs="Times New Roman"/>
          <w:color w:val="auto"/>
          <w:kern w:val="2"/>
          <w:sz w:val="24"/>
          <w:szCs w:val="24"/>
          <w:lang w:val="en-US" w:eastAsia="zh-CN" w:bidi="ar-SA"/>
        </w:rPr>
        <w:t>环节机器与人工质控</w:t>
      </w:r>
    </w:p>
    <w:p w14:paraId="7487528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支持对在院、出院未编目的环节病历进行机器实时自动质控，向质控人员提醒机器质控出的患者文书缺陷分类、缺陷明细、扣分；</w:t>
      </w:r>
    </w:p>
    <w:p w14:paraId="54E5CBB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支持质控员添加人工检出缺陷，删除机器质控缺陷，并支持误删除的恢复功能；</w:t>
      </w:r>
    </w:p>
    <w:p w14:paraId="4ECC040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支持环节质控时，支持对机器质控结果进行疑问反馈，支持反馈结果量化统计。</w:t>
      </w:r>
    </w:p>
    <w:p w14:paraId="29E75B7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7.2.2</w:t>
      </w:r>
      <w:r>
        <w:rPr>
          <w:rFonts w:hint="eastAsia" w:ascii="宋体" w:hAnsi="宋体" w:eastAsia="宋体" w:cs="Times New Roman"/>
          <w:color w:val="auto"/>
          <w:kern w:val="2"/>
          <w:sz w:val="24"/>
          <w:szCs w:val="24"/>
          <w:lang w:val="en-US" w:eastAsia="zh-CN" w:bidi="ar-SA"/>
        </w:rPr>
        <w:t>运行患者列表</w:t>
      </w:r>
    </w:p>
    <w:p w14:paraId="2A02E21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支持环节质控时，向质控人员展示在院患者列表；</w:t>
      </w:r>
    </w:p>
    <w:p w14:paraId="740F646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支持对列表多个字段进行排序，包括时间，分数等；</w:t>
      </w:r>
    </w:p>
    <w:p w14:paraId="40FF69E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支持质控时筛选目标病历，支持多条件筛选，可根据患者id、入院日期、科室、医师、病历文书、问题分类、问题明细、质控状态进行筛选；</w:t>
      </w:r>
    </w:p>
    <w:p w14:paraId="20BC537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支持导出推荐、筛选的患者列表。</w:t>
      </w:r>
    </w:p>
    <w:p w14:paraId="2A01CE5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7.2.3</w:t>
      </w:r>
      <w:r>
        <w:rPr>
          <w:rFonts w:hint="eastAsia" w:ascii="宋体" w:hAnsi="宋体" w:eastAsia="宋体" w:cs="Times New Roman"/>
          <w:color w:val="auto"/>
          <w:kern w:val="2"/>
          <w:sz w:val="24"/>
          <w:szCs w:val="24"/>
          <w:lang w:val="en-US" w:eastAsia="zh-CN" w:bidi="ar-SA"/>
        </w:rPr>
        <w:t>运行病历详情浏览</w:t>
      </w:r>
    </w:p>
    <w:p w14:paraId="2A389F2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支持查看在院、出院未编的问题患者；</w:t>
      </w:r>
    </w:p>
    <w:p w14:paraId="3A3CB2F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支持病历详情调阅，可查看运行病历的患者视图，包含：病案首页、入院记录、病程记录、出院记录、医嘱、检查检验报告等抽取文书；</w:t>
      </w:r>
    </w:p>
    <w:p w14:paraId="1087A33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7.2.4</w:t>
      </w:r>
      <w:r>
        <w:rPr>
          <w:rFonts w:hint="eastAsia" w:ascii="宋体" w:hAnsi="宋体" w:eastAsia="宋体" w:cs="Times New Roman"/>
          <w:color w:val="auto"/>
          <w:kern w:val="2"/>
          <w:sz w:val="24"/>
          <w:szCs w:val="24"/>
          <w:lang w:val="en-US" w:eastAsia="zh-CN" w:bidi="ar-SA"/>
        </w:rPr>
        <w:t>环节监控</w:t>
      </w:r>
    </w:p>
    <w:p w14:paraId="07831BB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支持查看当前AI质控病历总数、质控科室数；</w:t>
      </w:r>
    </w:p>
    <w:p w14:paraId="1F05320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支持查看全院病历的甲级病历、乙级病历和丙级病历的数量和占比；</w:t>
      </w:r>
    </w:p>
    <w:p w14:paraId="218D9AB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支持查看时间维度病案质量情况，对病案质量变化趋势进行图形化展示。</w:t>
      </w:r>
    </w:p>
    <w:p w14:paraId="375D498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支持查看科室维度病历问题数量排名、各科室病历数量、各科室病历问题数量、各科室病历问题占比；</w:t>
      </w:r>
    </w:p>
    <w:p w14:paraId="77B935A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支持查看文书维度问题排名，展示全院各文书问题数量；</w:t>
      </w:r>
    </w:p>
    <w:p w14:paraId="13F80F1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支持查看医生维度病历问题排名，各医师总病历数量、书写文书中甲乙丙各级文书问题数量；</w:t>
      </w:r>
    </w:p>
    <w:p w14:paraId="3BB28D8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支持查看全院环节监控出问题的明细，包含各科室甲乙丙问题病历量、问题患者详情；</w:t>
      </w:r>
    </w:p>
    <w:p w14:paraId="36692F7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报表</w:t>
      </w:r>
      <w:r>
        <w:rPr>
          <w:rFonts w:hint="eastAsia" w:ascii="宋体" w:hAnsi="宋体" w:eastAsia="宋体" w:cs="Times New Roman"/>
          <w:color w:val="auto"/>
          <w:kern w:val="2"/>
          <w:sz w:val="24"/>
          <w:szCs w:val="24"/>
          <w:lang w:val="en-US" w:eastAsia="zh-CN" w:bidi="ar-SA"/>
        </w:rPr>
        <w:t>支持下钻功能，定位具体患者或文书</w:t>
      </w:r>
    </w:p>
    <w:p w14:paraId="026CE1D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支持查询环节监控各类型统计报表；</w:t>
      </w:r>
    </w:p>
    <w:p w14:paraId="2170D48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支持环节监控各可视化图表的导出与下载。</w:t>
      </w:r>
    </w:p>
    <w:p w14:paraId="5965D43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7.3</w:t>
      </w:r>
      <w:r>
        <w:rPr>
          <w:rFonts w:hint="eastAsia" w:ascii="宋体" w:hAnsi="宋体" w:eastAsia="宋体" w:cs="Times New Roman"/>
          <w:color w:val="auto"/>
          <w:kern w:val="2"/>
          <w:sz w:val="24"/>
          <w:szCs w:val="24"/>
          <w:lang w:val="en-US" w:eastAsia="zh-CN" w:bidi="ar-SA"/>
        </w:rPr>
        <w:t>终末质控</w:t>
      </w:r>
    </w:p>
    <w:p w14:paraId="1F86BD1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7.3.1</w:t>
      </w:r>
      <w:r>
        <w:rPr>
          <w:rFonts w:hint="eastAsia" w:ascii="宋体" w:hAnsi="宋体" w:eastAsia="宋体" w:cs="Times New Roman"/>
          <w:color w:val="auto"/>
          <w:kern w:val="2"/>
          <w:sz w:val="24"/>
          <w:szCs w:val="24"/>
          <w:lang w:val="en-US" w:eastAsia="zh-CN" w:bidi="ar-SA"/>
        </w:rPr>
        <w:t>终末机器与人工质控</w:t>
      </w:r>
    </w:p>
    <w:p w14:paraId="6C9C990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支持对已出科的终末病历进行机器定时质控，向质控人员展示机器质控出的患者文书缺陷分类、缺陷明细、扣分；</w:t>
      </w:r>
    </w:p>
    <w:p w14:paraId="5D4EFF4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支持质控员添加人工检出缺陷，删除机器质控缺陷，并支持误删除的恢复功能；</w:t>
      </w:r>
    </w:p>
    <w:p w14:paraId="140C1A8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支持对机器质控结果进行疑问反馈，支持反馈结果量化统计。</w:t>
      </w:r>
    </w:p>
    <w:p w14:paraId="2DBD2CC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7.3.2</w:t>
      </w:r>
      <w:r>
        <w:rPr>
          <w:rFonts w:hint="eastAsia" w:ascii="宋体" w:hAnsi="宋体" w:eastAsia="宋体" w:cs="Times New Roman"/>
          <w:color w:val="auto"/>
          <w:kern w:val="2"/>
          <w:sz w:val="24"/>
          <w:szCs w:val="24"/>
          <w:lang w:val="en-US" w:eastAsia="zh-CN" w:bidi="ar-SA"/>
        </w:rPr>
        <w:t>终末患者列表</w:t>
      </w:r>
    </w:p>
    <w:p w14:paraId="3CE80D3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支持终末质控时，向质控人员展示出院患者列表；</w:t>
      </w:r>
    </w:p>
    <w:p w14:paraId="61C1E2B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支持对列表多个字段进行排序，包括时间，分数等；</w:t>
      </w:r>
    </w:p>
    <w:p w14:paraId="79B5419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支持质控时筛选目标病历，支持多条件筛选，可根据患者id、出院日期、科室、医师、病历文书、问题分类、问题明细、质控状态进行筛选；</w:t>
      </w:r>
    </w:p>
    <w:p w14:paraId="6BD01B7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支持导出推荐、筛选的患者列表。</w:t>
      </w:r>
    </w:p>
    <w:p w14:paraId="0FD661C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7.3.3</w:t>
      </w:r>
      <w:r>
        <w:rPr>
          <w:rFonts w:hint="eastAsia" w:ascii="宋体" w:hAnsi="宋体" w:eastAsia="宋体" w:cs="Times New Roman"/>
          <w:color w:val="auto"/>
          <w:kern w:val="2"/>
          <w:sz w:val="24"/>
          <w:szCs w:val="24"/>
          <w:lang w:val="en-US" w:eastAsia="zh-CN" w:bidi="ar-SA"/>
        </w:rPr>
        <w:t>终末病历详情浏览</w:t>
      </w:r>
    </w:p>
    <w:p w14:paraId="78C2E33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支持查看已出科病历的终末质控问题患者的质控分数及缺陷明细；</w:t>
      </w:r>
    </w:p>
    <w:p w14:paraId="1786662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支持病历详情调阅，可查看终末病历的患者视图，包含：病案首页、入院记录、病程记录、出院记录、医嘱、检查检验报告等抽取文书；</w:t>
      </w:r>
    </w:p>
    <w:p w14:paraId="59AE29F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7.3.4</w:t>
      </w:r>
      <w:r>
        <w:rPr>
          <w:rFonts w:hint="eastAsia" w:ascii="宋体" w:hAnsi="宋体" w:eastAsia="宋体" w:cs="Times New Roman"/>
          <w:color w:val="auto"/>
          <w:kern w:val="2"/>
          <w:sz w:val="24"/>
          <w:szCs w:val="24"/>
          <w:lang w:val="en-US" w:eastAsia="zh-CN" w:bidi="ar-SA"/>
        </w:rPr>
        <w:t>终末监控</w:t>
      </w:r>
    </w:p>
    <w:p w14:paraId="1A39C6A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支持查看终末质控的AI质控病历总数、质控科室数；</w:t>
      </w:r>
    </w:p>
    <w:p w14:paraId="53EAE0A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支持通过出院日期进行终末监控范围筛选；</w:t>
      </w:r>
    </w:p>
    <w:p w14:paraId="684CF02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支持查看全院病历的甲级病历、乙级病历和丙级病历的数量和占比；</w:t>
      </w:r>
    </w:p>
    <w:p w14:paraId="35FB585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支持按时间维度，对病案质量变化趋势进行图形化展示。</w:t>
      </w:r>
    </w:p>
    <w:p w14:paraId="15C53BF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支持查看全院各科室病历问题数量排名、各科室病历数量、各科室病历问题数量、各科室病历问题占比；</w:t>
      </w:r>
    </w:p>
    <w:p w14:paraId="488E0B4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支持查看全院各文书问题排名，展示全院各文书问题数量；</w:t>
      </w:r>
    </w:p>
    <w:p w14:paraId="5C6B17B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支持查看各医生病历问题排名，各医师总病历数量、书写文书中甲乙丙各级文书问题数量；</w:t>
      </w:r>
    </w:p>
    <w:p w14:paraId="2A7D6FA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支持查看全院终末监控出问题的明细，包含各科室甲乙丙问题病历量、问题患者详情；</w:t>
      </w:r>
    </w:p>
    <w:p w14:paraId="7CF9D8C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报表支持下钻功能，定位具体患者或文书；</w:t>
      </w:r>
    </w:p>
    <w:p w14:paraId="56884DD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支持查询终末监控各类型统计报表；</w:t>
      </w:r>
    </w:p>
    <w:p w14:paraId="2A027A1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支持终末监控各可视化图表的导出与下载。</w:t>
      </w:r>
    </w:p>
    <w:p w14:paraId="24D08C3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7.4</w:t>
      </w:r>
      <w:r>
        <w:rPr>
          <w:rFonts w:hint="eastAsia" w:ascii="宋体" w:hAnsi="宋体" w:eastAsia="宋体" w:cs="Times New Roman"/>
          <w:color w:val="auto"/>
          <w:kern w:val="2"/>
          <w:sz w:val="24"/>
          <w:szCs w:val="24"/>
          <w:lang w:val="en-US" w:eastAsia="zh-CN" w:bidi="ar-SA"/>
        </w:rPr>
        <w:t>整改管理</w:t>
      </w:r>
    </w:p>
    <w:p w14:paraId="5D4CA37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7.4.1</w:t>
      </w:r>
      <w:r>
        <w:rPr>
          <w:rFonts w:hint="eastAsia" w:ascii="宋体" w:hAnsi="宋体" w:eastAsia="宋体" w:cs="Times New Roman"/>
          <w:color w:val="auto"/>
          <w:kern w:val="2"/>
          <w:sz w:val="24"/>
          <w:szCs w:val="24"/>
          <w:lang w:val="en-US" w:eastAsia="zh-CN" w:bidi="ar-SA"/>
        </w:rPr>
        <w:t>整改通知</w:t>
      </w:r>
    </w:p>
    <w:p w14:paraId="5CC6AF6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支持临床医师接收质控员发送整改通知，通知内容包含病历号，得分，缺陷等信息。</w:t>
      </w:r>
    </w:p>
    <w:p w14:paraId="6F0F4D7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已发送的整改通知支持医师端和平台端显示；</w:t>
      </w:r>
    </w:p>
    <w:p w14:paraId="656C8E4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支持临床医师对接收到的通知进行线上处理，包括整改确认及申诉反馈。</w:t>
      </w:r>
    </w:p>
    <w:p w14:paraId="7A763BE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支持临床医生在医生端对整改通知进行申诉，并可将申诉结果反馈质控平台端。</w:t>
      </w:r>
    </w:p>
    <w:p w14:paraId="505C441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支持整改病历通过不同状态，查看通知消息是否已完成处理。</w:t>
      </w:r>
    </w:p>
    <w:p w14:paraId="0276DDD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支持临床医师查看反馈结果是否被质控员接受。</w:t>
      </w:r>
    </w:p>
    <w:p w14:paraId="50E98FD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7.4.2</w:t>
      </w:r>
      <w:r>
        <w:rPr>
          <w:rFonts w:hint="eastAsia" w:ascii="宋体" w:hAnsi="宋体" w:eastAsia="宋体" w:cs="Times New Roman"/>
          <w:color w:val="auto"/>
          <w:kern w:val="2"/>
          <w:sz w:val="24"/>
          <w:szCs w:val="24"/>
          <w:lang w:val="en-US" w:eastAsia="zh-CN" w:bidi="ar-SA"/>
        </w:rPr>
        <w:t>整改管理</w:t>
      </w:r>
    </w:p>
    <w:p w14:paraId="78170EB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支持质控员在质控完成后，及时对问题病历发送要求整改通知，并定位到具体科室及医师；</w:t>
      </w:r>
    </w:p>
    <w:p w14:paraId="63FC51D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支持转科病历，向转科前后不同科室发送通知。</w:t>
      </w:r>
    </w:p>
    <w:p w14:paraId="393674D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支持质控人员对临床整改结果的审批，包括整改通过和问题驳回，驳回结果可以再通知；</w:t>
      </w:r>
    </w:p>
    <w:p w14:paraId="59DA503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支持质控人员依据整改状态、是否申诉，患者入出院信息等进行整改数据筛选；</w:t>
      </w:r>
    </w:p>
    <w:p w14:paraId="002DDD1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支持平台端支持对医生整改结果的自动确认。</w:t>
      </w:r>
    </w:p>
    <w:p w14:paraId="77B3404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 xml:space="preserve">支持质控人员将通知整改内容导出，便于工作统计。 </w:t>
      </w:r>
    </w:p>
    <w:p w14:paraId="4E0AC03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7.5</w:t>
      </w:r>
      <w:r>
        <w:rPr>
          <w:rFonts w:hint="eastAsia" w:ascii="宋体" w:hAnsi="宋体" w:eastAsia="宋体" w:cs="Times New Roman"/>
          <w:color w:val="auto"/>
          <w:kern w:val="2"/>
          <w:sz w:val="24"/>
          <w:szCs w:val="24"/>
          <w:lang w:val="en-US" w:eastAsia="zh-CN" w:bidi="ar-SA"/>
        </w:rPr>
        <w:t>质控工作管理</w:t>
      </w:r>
    </w:p>
    <w:p w14:paraId="6EEF037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7.5.1</w:t>
      </w:r>
      <w:r>
        <w:rPr>
          <w:rFonts w:hint="eastAsia" w:ascii="宋体" w:hAnsi="宋体" w:eastAsia="宋体" w:cs="Times New Roman"/>
          <w:color w:val="auto"/>
          <w:kern w:val="2"/>
          <w:sz w:val="24"/>
          <w:szCs w:val="24"/>
          <w:lang w:val="en-US" w:eastAsia="zh-CN" w:bidi="ar-SA"/>
        </w:rPr>
        <w:t>质控工作统计</w:t>
      </w:r>
    </w:p>
    <w:p w14:paraId="2E3E8B4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支持按质控员维度对工作量统计，包括质控数量，通知数量，和整改确认完成数量。</w:t>
      </w:r>
    </w:p>
    <w:p w14:paraId="3DA6451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支持科室维度的工作量统计，包括质控数量，通知数量，和整改确认完成数量。</w:t>
      </w:r>
    </w:p>
    <w:p w14:paraId="6BA954B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支持规则维度的工作量统计，包括质控数量，通知数量，和整改确认完成数量。</w:t>
      </w:r>
    </w:p>
    <w:p w14:paraId="6478325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7.5.2</w:t>
      </w:r>
      <w:r>
        <w:rPr>
          <w:rFonts w:hint="eastAsia" w:ascii="宋体" w:hAnsi="宋体" w:eastAsia="宋体" w:cs="Times New Roman"/>
          <w:color w:val="auto"/>
          <w:kern w:val="2"/>
          <w:sz w:val="24"/>
          <w:szCs w:val="24"/>
          <w:lang w:val="en-US" w:eastAsia="zh-CN" w:bidi="ar-SA"/>
        </w:rPr>
        <w:t>质控工作计划</w:t>
      </w:r>
    </w:p>
    <w:p w14:paraId="6CC4468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支持创建终末质控计划，可以按比例、病历特点等进行数据抽取</w:t>
      </w:r>
    </w:p>
    <w:p w14:paraId="06BECA9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支持查看质控计划的完成进度</w:t>
      </w:r>
    </w:p>
    <w:p w14:paraId="6350842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支持跳转致质控详情，进行质控工作</w:t>
      </w:r>
    </w:p>
    <w:p w14:paraId="63E8B3D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7.6</w:t>
      </w:r>
      <w:r>
        <w:rPr>
          <w:rFonts w:hint="eastAsia" w:ascii="宋体" w:hAnsi="宋体" w:eastAsia="宋体" w:cs="Times New Roman"/>
          <w:color w:val="auto"/>
          <w:kern w:val="2"/>
          <w:sz w:val="24"/>
          <w:szCs w:val="24"/>
          <w:lang w:val="en-US" w:eastAsia="zh-CN" w:bidi="ar-SA"/>
        </w:rPr>
        <w:t>运行监控</w:t>
      </w:r>
    </w:p>
    <w:p w14:paraId="48B3A23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支持根据日、周、月度不同时间维度查询全院、各科室医生端点击情况及变化趋势；</w:t>
      </w:r>
    </w:p>
    <w:p w14:paraId="65F9064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支持分析临床科室对于不同功能模块的使用取向，包含：提醒、预警、通知；</w:t>
      </w:r>
    </w:p>
    <w:p w14:paraId="1985EA9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支持分析当前使用医生端小程序的用户类型；</w:t>
      </w:r>
    </w:p>
    <w:p w14:paraId="110258F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支持分析不同科室对于医生端消小程序的点击情况与响应力度；</w:t>
      </w:r>
    </w:p>
    <w:p w14:paraId="139ACB3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支持查看各科室接收质控提示却未响应的排名情况；</w:t>
      </w:r>
    </w:p>
    <w:p w14:paraId="7F60FB1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支持实时查看各科室医师实际使用医生端小程序各功能模块的情况及响应力度。</w:t>
      </w:r>
    </w:p>
    <w:p w14:paraId="44D359B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7.7</w:t>
      </w:r>
      <w:r>
        <w:rPr>
          <w:rFonts w:hint="eastAsia" w:ascii="宋体" w:hAnsi="宋体" w:eastAsia="宋体" w:cs="Times New Roman"/>
          <w:color w:val="auto"/>
          <w:kern w:val="2"/>
          <w:sz w:val="24"/>
          <w:szCs w:val="24"/>
          <w:lang w:val="en-US" w:eastAsia="zh-CN" w:bidi="ar-SA"/>
        </w:rPr>
        <w:t>评分项管理</w:t>
      </w:r>
    </w:p>
    <w:p w14:paraId="587B6F2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7.7.1</w:t>
      </w:r>
      <w:r>
        <w:rPr>
          <w:rFonts w:hint="eastAsia" w:ascii="宋体" w:hAnsi="宋体" w:eastAsia="宋体" w:cs="Times New Roman"/>
          <w:color w:val="auto"/>
          <w:kern w:val="2"/>
          <w:sz w:val="24"/>
          <w:szCs w:val="24"/>
          <w:lang w:val="en-US" w:eastAsia="zh-CN" w:bidi="ar-SA"/>
        </w:rPr>
        <w:t>质控评分表对照</w:t>
      </w:r>
    </w:p>
    <w:p w14:paraId="07DA009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支持AI质控住院评分表在线下载功能；</w:t>
      </w:r>
    </w:p>
    <w:p w14:paraId="61BD371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支持自定义配置住院评分表采用版本、甲乙丙级病历计算方式及分数区间；</w:t>
      </w:r>
    </w:p>
    <w:p w14:paraId="4A84218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支持对于AI质控住院评分表的编辑修改功能，包括但不限于文书最大扣分；项目最大扣分、是否每项扣分、每项扣分分值等；</w:t>
      </w:r>
    </w:p>
    <w:p w14:paraId="47E5CDE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支持医院自定义导入个性化住院评表；</w:t>
      </w:r>
    </w:p>
    <w:p w14:paraId="72AE869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支持院内评分表与AI质控评分项的双向映射。</w:t>
      </w:r>
    </w:p>
    <w:p w14:paraId="2BF2893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7.7.2</w:t>
      </w:r>
      <w:r>
        <w:rPr>
          <w:rFonts w:hint="eastAsia" w:ascii="宋体" w:hAnsi="宋体" w:eastAsia="宋体" w:cs="Times New Roman"/>
          <w:color w:val="auto"/>
          <w:kern w:val="2"/>
          <w:sz w:val="24"/>
          <w:szCs w:val="24"/>
          <w:lang w:val="en-US" w:eastAsia="zh-CN" w:bidi="ar-SA"/>
        </w:rPr>
        <w:t>质控评分项管理</w:t>
      </w:r>
    </w:p>
    <w:p w14:paraId="2580612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支持展示AI质控全部评分项内容；</w:t>
      </w:r>
    </w:p>
    <w:p w14:paraId="35AD86E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支持根据不同质控时间节点配置评分项，包括医生端、环节、终末；</w:t>
      </w:r>
    </w:p>
    <w:p w14:paraId="2376859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支持医院根据实际情况启停用评分项；</w:t>
      </w:r>
    </w:p>
    <w:p w14:paraId="6105095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支持针对于不同科室配置专科评分项；</w:t>
      </w:r>
    </w:p>
    <w:p w14:paraId="7B7BDBA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支持自定义设置单项否决、属性等评分项参数。</w:t>
      </w:r>
    </w:p>
    <w:p w14:paraId="75DD330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w:t>
      </w:r>
      <w:r>
        <w:rPr>
          <w:rFonts w:hint="eastAsia" w:ascii="宋体" w:hAnsi="宋体" w:eastAsia="宋体" w:cs="Times New Roman"/>
          <w:color w:val="auto"/>
          <w:kern w:val="2"/>
          <w:sz w:val="24"/>
          <w:szCs w:val="24"/>
          <w:lang w:val="en-US" w:eastAsia="zh-CN" w:bidi="ar-SA"/>
        </w:rPr>
        <w:t>.7.3评分项本地化</w:t>
      </w:r>
    </w:p>
    <w:p w14:paraId="3F0D1DB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及时性规则支持标准时间选择，如使用创建时间或签名时间判断文书书写完成等；</w:t>
      </w:r>
    </w:p>
    <w:p w14:paraId="5DDF1CF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完整规则支持本地化调整，当医院电子病历无相应字段时，可关闭；</w:t>
      </w:r>
    </w:p>
    <w:p w14:paraId="4082C10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缺失类规则支持按照字数进行判断，当文书低于设置标准时，可判断为未书写，如首次病程记录低于10个字。</w:t>
      </w:r>
    </w:p>
    <w:p w14:paraId="1A37614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7.8</w:t>
      </w:r>
      <w:r>
        <w:rPr>
          <w:rFonts w:hint="eastAsia" w:ascii="宋体" w:hAnsi="宋体" w:eastAsia="宋体" w:cs="Times New Roman"/>
          <w:color w:val="auto"/>
          <w:kern w:val="2"/>
          <w:sz w:val="24"/>
          <w:szCs w:val="24"/>
          <w:lang w:val="en-US" w:eastAsia="zh-CN" w:bidi="ar-SA"/>
        </w:rPr>
        <w:t>用户与权限管理系统</w:t>
      </w:r>
    </w:p>
    <w:p w14:paraId="2332395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支持提供科室、人员、角色导入模板，便于维护；</w:t>
      </w:r>
    </w:p>
    <w:p w14:paraId="55DAA95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支持科室字典导入、科室信息新增、修改、删除；</w:t>
      </w:r>
    </w:p>
    <w:p w14:paraId="0BECD06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支持用户字典导入、用户信息新增与修改、删除、启停用；</w:t>
      </w:r>
    </w:p>
    <w:p w14:paraId="6F5DF20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支持角色字典导入、角色信息新增与修改、删除、启停用；支持角色与用户之间进行绑定；</w:t>
      </w:r>
    </w:p>
    <w:p w14:paraId="4271401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支持通过角色进行产品功能权限分配；</w:t>
      </w:r>
    </w:p>
    <w:p w14:paraId="01BD17C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支持全院与各科室数据权限依据角色进行分配。</w:t>
      </w:r>
    </w:p>
    <w:p w14:paraId="63778FE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7.9病历质控规则引擎</w:t>
      </w:r>
    </w:p>
    <w:p w14:paraId="52891CE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7.9.1首页基础质控库</w:t>
      </w:r>
    </w:p>
    <w:p w14:paraId="203FF06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支持病案首页填报字段的必填项质控，对国考上报、医保清单政策要求字段进行完整性校验；</w:t>
      </w:r>
    </w:p>
    <w:p w14:paraId="356C8D3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支持病案首页填报字段的数值逻辑性质控，对年龄、新生儿体重、呼吸机使用时长等填写值范围进行逻辑性校验。</w:t>
      </w:r>
    </w:p>
    <w:p w14:paraId="722EF9D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7.9.2首页一致质控库</w:t>
      </w:r>
    </w:p>
    <w:p w14:paraId="7B27C92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支持通过自然语言分词手段，将文书内容与辅助报告内容与首页字段进行一致性校验；</w:t>
      </w:r>
    </w:p>
    <w:p w14:paraId="356E921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支持对从入院记录、出院记录、死亡记录等病历内容提取的首页字段进行逻辑质控，如首页字段‘过敏药物’与入院记录过敏药物不一致；</w:t>
      </w:r>
    </w:p>
    <w:p w14:paraId="27FB36F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支持对从医嘱单内容提取的首页字段进行逻辑质控，如首页字段‘是否使用呼吸机’与医嘱中呼吸机执行记录不一致；</w:t>
      </w:r>
    </w:p>
    <w:p w14:paraId="7872A17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支持对从检查报告与检验报告内容提取的首页字段进行逻辑质控，如首页字段‘血型’与检验-血型报告不一致。</w:t>
      </w:r>
    </w:p>
    <w:p w14:paraId="58182FA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7.9.3首页诊断质控库</w:t>
      </w:r>
    </w:p>
    <w:p w14:paraId="3A8EF34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首页诊断编码规则，对不能作为主要诊断的编码，合并编码，编码性别年龄错误等进行提醒；</w:t>
      </w:r>
    </w:p>
    <w:p w14:paraId="51A1666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对出院诊断中的其他项目进行检查，如主要诊断入院情况不能为无，出院转归情况，是否漏填。</w:t>
      </w:r>
    </w:p>
    <w:p w14:paraId="07D6D12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7.9.4首页手术质控库</w:t>
      </w:r>
    </w:p>
    <w:p w14:paraId="571BD38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首页手术编码规则，对不能作为主要诊断的编码，需要辅助编码的手术，主要手术与主要诊断不匹配等进行提醒；</w:t>
      </w:r>
    </w:p>
    <w:p w14:paraId="4F6ED54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对手术其他项目进行检查，如手术与手术费用，手术漏填，手术排序错误等进行提醒。</w:t>
      </w:r>
    </w:p>
    <w:p w14:paraId="29DDCD9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7.9.5文书超时质控库</w:t>
      </w:r>
    </w:p>
    <w:p w14:paraId="576481C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支持依据首页入出院时间或临床系统入出院时间，对文书书写是否超时进行校验，如入院记录未在入院24小时内书写、首次病程记录未在入院8小时内书写；</w:t>
      </w:r>
    </w:p>
    <w:p w14:paraId="2335BA9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支持依据医嘱或其他临床系统数据，对未书写的文书进行校验，如医嘱含死亡记录未书写死亡记录、医嘱含抢救记录未记录抢救记录；</w:t>
      </w:r>
    </w:p>
    <w:p w14:paraId="5DD4085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支持依据医嘱或其他临床系统数据，对文书是否未按频次书写进行校验，如医嘱含病危记录日常病程未按每日一次书写。</w:t>
      </w:r>
    </w:p>
    <w:p w14:paraId="3180F98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7.9.6数值合理质控库</w:t>
      </w:r>
    </w:p>
    <w:p w14:paraId="25367D3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支持通过自然语言分词技术，将文书分词出体征及其数值、就诊信息及其数值；</w:t>
      </w:r>
    </w:p>
    <w:p w14:paraId="304B33F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支持对医学常识类内容的校验，如心率超过260次/分，收缩压小于舒张压；</w:t>
      </w:r>
    </w:p>
    <w:p w14:paraId="3CFF5DC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 xml:space="preserve">支持对入出院记录内容不合理的校验，如入院记录记录时间早于入院时间。 </w:t>
      </w:r>
    </w:p>
    <w:p w14:paraId="7C56347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7.9.7文书完整质控库</w:t>
      </w:r>
    </w:p>
    <w:p w14:paraId="6094F30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支持通过自然语言分词技术，将各文书分词出内容章节；</w:t>
      </w:r>
    </w:p>
    <w:p w14:paraId="736C725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支持校验各文书是否缺失必写章节，如入院记录缺失主诉、首次病程记录缺失鉴别诊断；</w:t>
      </w:r>
    </w:p>
    <w:p w14:paraId="2B7FECB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支持校验各文书文本内容的缺失校验，如输血记录未记录输血类型、死亡记录未记录死亡时间。</w:t>
      </w:r>
    </w:p>
    <w:p w14:paraId="2DA6FE5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7.9.8文书重复质控库</w:t>
      </w:r>
    </w:p>
    <w:p w14:paraId="3467FC2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支持通过自然语言分词技术，将各文书分词出内容；</w:t>
      </w:r>
    </w:p>
    <w:p w14:paraId="76ABFAA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支持通过分词后结果进行各文书各章节内容是否一致校验，如首次病程与现病史重复；</w:t>
      </w:r>
    </w:p>
    <w:p w14:paraId="596BDA8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支持各文书内容是否一致校验，如上级医师首次查房与首次病程记录内容重复。</w:t>
      </w:r>
    </w:p>
    <w:p w14:paraId="1492B71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7.9.9文书一致质控库</w:t>
      </w:r>
    </w:p>
    <w:p w14:paraId="4FEEEC2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支持支持通过自然语言分词技术，将各文书分词出内容；</w:t>
      </w:r>
    </w:p>
    <w:p w14:paraId="2187D49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支持通过分词后文书内容，将单文书各章节内容比对是否一致，如主诉与现病史症状不一致、既往史否认史与现病史比对不一致；</w:t>
      </w:r>
    </w:p>
    <w:p w14:paraId="57E5CAA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持通过分词后文书内容，将入院记录、首次病程记录、日常病程记录、上级医师查房记录文书进行内容比对是否一致，如入院记录主诉症状与首次病程记录症状不一致。</w:t>
      </w:r>
    </w:p>
    <w:p w14:paraId="1268005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7.9.10多源一致质控库</w:t>
      </w:r>
    </w:p>
    <w:p w14:paraId="64DE47B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支持支持通过自然语言分词技术，将各文书、检查报告分词出内容；</w:t>
      </w:r>
    </w:p>
    <w:p w14:paraId="7DDCAEB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支持通过分词后，病历文书与医嘱比对内容是否一致，如出院记录出院带药名称与医嘱出院带药名称不相同；</w:t>
      </w:r>
    </w:p>
    <w:p w14:paraId="44E40C7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支持通过分词后，病历文书与检查报告内容是否一致，如检查报告心电图异常未在日常病程中记录；</w:t>
      </w:r>
    </w:p>
    <w:p w14:paraId="1E3A2A5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支持病历文书与检验报告内容是否一致，如检验报告异常未在日常病程中记录。</w:t>
      </w:r>
    </w:p>
    <w:p w14:paraId="13C1506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7.9.11多就诊次一致质控库</w:t>
      </w:r>
    </w:p>
    <w:p w14:paraId="1A5207F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支持支持通过自然语言分词技术，将各文书、检查报告分词出内容；</w:t>
      </w:r>
    </w:p>
    <w:p w14:paraId="140BED4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支持不同就诊次文书之间内容是否一致核对，如本次主诉与前一就诊次主诉内容雷同。</w:t>
      </w:r>
    </w:p>
    <w:p w14:paraId="0835D77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7.9.12真实病情质控库</w:t>
      </w:r>
    </w:p>
    <w:p w14:paraId="7D34720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支持通过自然语言分词技术，将病历文书、检查报告、手麻文书进行分词处理；</w:t>
      </w:r>
    </w:p>
    <w:p w14:paraId="1F6C662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支持依据分词后辅助检查报告数据推出患者实际发生病情未在文书中记录。如初步诊断主诊断为不稳定性心绞痛，心肌损伤标志物结果异常，病程中未记录；</w:t>
      </w:r>
    </w:p>
    <w:p w14:paraId="3EC50B9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支持依据分词后病历文书前后病情描述不符合医学逻辑的校验，如初步诊断无“脑出血/蛛网膜下腔出血”诊断，出院诊断含“脑出血/蛛网膜下腔出血”，日常病程无记录。</w:t>
      </w:r>
    </w:p>
    <w:p w14:paraId="1F2515A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7.9.13诊治分析质控库</w:t>
      </w:r>
    </w:p>
    <w:p w14:paraId="1F9A4DE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支持通过自然语言分词技术，将病历文书、检查报告、手麻文书进行分词处理；</w:t>
      </w:r>
    </w:p>
    <w:p w14:paraId="545929A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支持依据病历文书、检查报告、检验报告内容分析患者疾病进展情况，校验该疾病的治疗过程是否被记录。如术后检查报告头颅CT/MRI显示出血面积增大/新发出血，术后病程无上级医师处理意见；</w:t>
      </w:r>
    </w:p>
    <w:p w14:paraId="217CF7A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支持针对病历中出现的疾病应书写的诊断分析过程是否被如实记录。如初步诊断主诊断为神经根型颈椎病，主诉为上肢疼痛、麻木，鉴别诊断无胸廓出口综合征、甲状腺疾病术前小结手术指征不明确；</w:t>
      </w:r>
    </w:p>
    <w:p w14:paraId="74FF970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支持依据医嘱数据智能分析，对患者治疗方案变更是否被记录进行校验。如重要医嘱更改，病程记录中未记录更改理由。</w:t>
      </w:r>
    </w:p>
    <w:p w14:paraId="34C9DE3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7.9.14病历诊断质控库</w:t>
      </w:r>
    </w:p>
    <w:p w14:paraId="60673F0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支持通过自然语言分词技术，将病历文书、检查报告进行分词处理；</w:t>
      </w:r>
    </w:p>
    <w:p w14:paraId="5C861CF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支持通过分析病历文书中记录的疾病史、症状、体征信息，对入院记录初步诊断与出院记录出院诊断进行漏诊校验，如现病史/既往史含高脂血症/高血压/糖尿病/冠状动脉粥样硬化性心脏病，初步诊断未提及；</w:t>
      </w:r>
    </w:p>
    <w:p w14:paraId="6B70ABA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支持对入院记录初步诊断与出院记录出院诊断进行无依据诊断，如初步诊断缺少辅助检查中含有的低钠血症；</w:t>
      </w:r>
    </w:p>
    <w:p w14:paraId="06FEBF5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支持校对病历中入出院诊断名称与分期分型不规范，如呼吸衰竭应写明分型。</w:t>
      </w:r>
    </w:p>
    <w:p w14:paraId="27148E9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7.9.15专病逻辑质控库</w:t>
      </w:r>
    </w:p>
    <w:p w14:paraId="1933531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支持通过自然语言分词技术，将病历文书、检查报告进行分词处理；</w:t>
      </w:r>
    </w:p>
    <w:p w14:paraId="477D4AB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支持依据分词后病历文书疾病诊断，对该专病的诊断过程未在病历文书中记录的校验，如初步诊断主诊断为肺栓塞，现病史/辅助检查无CTPA/MRPA/超声心动图/核素肺通气灌注扫描/选择性肺动脉造影检查；</w:t>
      </w:r>
    </w:p>
    <w:p w14:paraId="374778C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支持对专科疾病的发生、发展、诊断、治疗过程记录存在逻辑矛盾的校验，如第一诊断为急性心力衰竭时，主诉应包含呼吸困难/胸闷/气短/憋气/喘息。</w:t>
      </w:r>
    </w:p>
    <w:p w14:paraId="039FF27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7.9.16书写预警库</w:t>
      </w:r>
    </w:p>
    <w:p w14:paraId="2E16AAB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支持提前预警待超时文书，如请在剩余4h内书写首次病程记录；</w:t>
      </w:r>
    </w:p>
    <w:p w14:paraId="32B75F0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支持提前预警待书写内容，如医嘱含药物名称，请在病程记录中记录。</w:t>
      </w:r>
    </w:p>
    <w:p w14:paraId="356BBAB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7.10病历理解服务引擎</w:t>
      </w:r>
    </w:p>
    <w:p w14:paraId="22E9EF5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7.10.1病历标签化</w:t>
      </w:r>
    </w:p>
    <w:p w14:paraId="1C49E62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支持核心制度患者定义，如手术患者，会诊患者，死亡患者等；</w:t>
      </w:r>
    </w:p>
    <w:p w14:paraId="6EF0AF8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支持特殊患者定义，如低风险死亡患者，术后并发症患者，VTE 患者等。</w:t>
      </w:r>
    </w:p>
    <w:p w14:paraId="328094A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7.10.2病历标签应用</w:t>
      </w:r>
    </w:p>
    <w:p w14:paraId="05C9AE5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支持对死亡、手术、低风险死亡，术后并发症、VTE病例等重点关注病历进行标记，筛选；</w:t>
      </w:r>
    </w:p>
    <w:p w14:paraId="4D3C383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支持对标签进行数据统计，如低风险死亡患者发生率，术后并发症患者发生率；</w:t>
      </w:r>
    </w:p>
    <w:p w14:paraId="56BCC84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支持临床医生端及平台端展示病历所属标签分类。</w:t>
      </w:r>
    </w:p>
    <w:p w14:paraId="26BCEE2C">
      <w:pPr>
        <w:pStyle w:val="4"/>
        <w:keepNext w:val="0"/>
        <w:keepLines w:val="0"/>
        <w:pageBreakBefore w:val="0"/>
        <w:widowControl w:val="0"/>
        <w:kinsoku/>
        <w:wordWrap/>
        <w:topLinePunct w:val="0"/>
        <w:autoSpaceDE/>
        <w:autoSpaceDN/>
        <w:bidi w:val="0"/>
        <w:snapToGrid/>
        <w:spacing w:line="380" w:lineRule="exact"/>
        <w:ind w:left="479" w:leftChars="228" w:firstLine="0" w:firstLineChars="0"/>
        <w:textAlignment w:val="auto"/>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00B63CB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jc w:val="both"/>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1.采</w:t>
      </w:r>
      <w:r>
        <w:rPr>
          <w:rFonts w:hint="default" w:ascii="宋体" w:hAnsi="宋体" w:eastAsia="宋体" w:cs="Times New Roman"/>
          <w:color w:val="000000"/>
          <w:kern w:val="2"/>
          <w:sz w:val="24"/>
          <w:szCs w:val="24"/>
          <w:lang w:val="en-US" w:eastAsia="zh-CN" w:bidi="ar-SA"/>
        </w:rPr>
        <w:t>购标的需满足产品三包服务、所有产品须提供≥</w:t>
      </w:r>
      <w:r>
        <w:rPr>
          <w:rFonts w:hint="eastAsia" w:ascii="宋体" w:hAnsi="宋体" w:cs="Times New Roman"/>
          <w:color w:val="000000"/>
          <w:kern w:val="2"/>
          <w:sz w:val="24"/>
          <w:szCs w:val="24"/>
          <w:lang w:val="en-US" w:eastAsia="zh-CN" w:bidi="ar-SA"/>
        </w:rPr>
        <w:t>2</w:t>
      </w:r>
      <w:r>
        <w:rPr>
          <w:rFonts w:hint="default" w:ascii="宋体" w:hAnsi="宋体" w:eastAsia="宋体" w:cs="Times New Roman"/>
          <w:color w:val="000000"/>
          <w:kern w:val="2"/>
          <w:sz w:val="24"/>
          <w:szCs w:val="24"/>
          <w:lang w:val="en-US" w:eastAsia="zh-CN" w:bidi="ar-SA"/>
        </w:rPr>
        <w:t>年软硬件质保期，质保期内提供7×24小时的技术支持服务，配置专门固定的售后服务电话。供应商接到采购人系统故障报修应在10分钟内响应，如4小时内无法电话解决问题，维修人员必须在24小时之内到达现场（含节假日），紧急情况须在接到采购人报修后4小时内到达现场维修处理，故障排除在1个工作日内，若需更长时间，供货商须提供备用设备或提出切实可行的解决方案。</w:t>
      </w:r>
    </w:p>
    <w:p w14:paraId="5C3F798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jc w:val="both"/>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w:t>
      </w:r>
      <w:r>
        <w:rPr>
          <w:rFonts w:hint="default" w:ascii="宋体" w:hAnsi="宋体" w:eastAsia="宋体" w:cs="Times New Roman"/>
          <w:color w:val="000000"/>
          <w:kern w:val="2"/>
          <w:sz w:val="24"/>
          <w:szCs w:val="24"/>
          <w:lang w:val="en-US" w:eastAsia="zh-CN" w:bidi="ar-SA"/>
        </w:rPr>
        <w:t>在质保期内，供应商对所投产品免费提供</w:t>
      </w:r>
      <w:r>
        <w:rPr>
          <w:rFonts w:hint="default" w:ascii="宋体" w:hAnsi="宋体" w:eastAsia="宋体" w:cs="Times New Roman"/>
          <w:color w:val="000000"/>
          <w:kern w:val="2"/>
          <w:sz w:val="24"/>
          <w:szCs w:val="24"/>
          <w:highlight w:val="none"/>
          <w:lang w:val="en-US" w:eastAsia="zh-CN" w:bidi="ar-SA"/>
        </w:rPr>
        <w:t>每年不少于4次(每季度巡检一次)的巡检和维护，</w:t>
      </w:r>
      <w:r>
        <w:rPr>
          <w:rFonts w:hint="default" w:ascii="宋体" w:hAnsi="宋体" w:eastAsia="宋体" w:cs="Times New Roman"/>
          <w:color w:val="000000"/>
          <w:kern w:val="2"/>
          <w:sz w:val="24"/>
          <w:szCs w:val="24"/>
          <w:lang w:val="en-US" w:eastAsia="zh-CN" w:bidi="ar-SA"/>
        </w:rPr>
        <w:t>巡检时须对所有设备状态进行检查，确保健康度100%；并将所有需要特征库升级的设备升级到官方最新版本。当采购人有要求时，供应商提供现场技术保障服务。</w:t>
      </w:r>
    </w:p>
    <w:p w14:paraId="1E2B2864">
      <w:pPr>
        <w:pStyle w:val="4"/>
        <w:keepNext w:val="0"/>
        <w:keepLines w:val="0"/>
        <w:pageBreakBefore w:val="0"/>
        <w:widowControl w:val="0"/>
        <w:kinsoku/>
        <w:wordWrap/>
        <w:topLinePunct w:val="0"/>
        <w:autoSpaceDE/>
        <w:autoSpaceDN/>
        <w:bidi w:val="0"/>
        <w:snapToGrid/>
        <w:spacing w:line="380" w:lineRule="exact"/>
        <w:ind w:left="0" w:leftChars="0" w:firstLine="420" w:firstLineChars="175"/>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w:t>
      </w:r>
      <w:r>
        <w:rPr>
          <w:rFonts w:hint="default" w:ascii="宋体" w:hAnsi="宋体" w:eastAsia="宋体" w:cs="Times New Roman"/>
          <w:color w:val="000000"/>
          <w:kern w:val="2"/>
          <w:sz w:val="24"/>
          <w:szCs w:val="24"/>
          <w:lang w:val="en-US" w:eastAsia="zh-CN" w:bidi="ar-SA"/>
        </w:rPr>
        <w:t>为保障服务质量，本项目所有产品在签订合同时，需提供原厂售后服务承诺函（格式自拟）。</w:t>
      </w:r>
    </w:p>
    <w:p w14:paraId="3FA1F878">
      <w:pPr>
        <w:pStyle w:val="4"/>
        <w:keepNext w:val="0"/>
        <w:keepLines w:val="0"/>
        <w:pageBreakBefore w:val="0"/>
        <w:widowControl w:val="0"/>
        <w:kinsoku/>
        <w:wordWrap/>
        <w:topLinePunct w:val="0"/>
        <w:autoSpaceDE/>
        <w:autoSpaceDN/>
        <w:bidi w:val="0"/>
        <w:snapToGrid/>
        <w:spacing w:line="380" w:lineRule="exact"/>
        <w:ind w:left="479" w:leftChars="228" w:firstLine="0" w:firstLineChars="0"/>
        <w:textAlignment w:val="auto"/>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（三）采购合同内容条款要求</w:t>
      </w:r>
    </w:p>
    <w:p w14:paraId="77997CDF">
      <w:pPr>
        <w:pStyle w:val="4"/>
        <w:keepNext w:val="0"/>
        <w:keepLines w:val="0"/>
        <w:pageBreakBefore w:val="0"/>
        <w:widowControl w:val="0"/>
        <w:kinsoku/>
        <w:wordWrap/>
        <w:topLinePunct w:val="0"/>
        <w:autoSpaceDE/>
        <w:autoSpaceDN/>
        <w:bidi w:val="0"/>
        <w:snapToGrid/>
        <w:spacing w:line="380" w:lineRule="exact"/>
        <w:ind w:left="479" w:leftChars="228"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cs="宋体"/>
          <w:color w:val="auto"/>
          <w:sz w:val="24"/>
          <w:szCs w:val="24"/>
          <w:highlight w:val="none"/>
          <w:lang w:val="en-US" w:eastAsia="zh-CN"/>
        </w:rPr>
        <w:t>交货</w:t>
      </w:r>
      <w:r>
        <w:rPr>
          <w:rFonts w:hint="eastAsia" w:ascii="宋体" w:hAnsi="宋体" w:eastAsia="宋体" w:cs="宋体"/>
          <w:color w:val="auto"/>
          <w:sz w:val="24"/>
          <w:szCs w:val="24"/>
          <w:highlight w:val="none"/>
          <w:lang w:val="en-US" w:eastAsia="zh-CN"/>
        </w:rPr>
        <w:t>时间：</w:t>
      </w:r>
      <w:r>
        <w:rPr>
          <w:rFonts w:hint="default" w:ascii="宋体" w:hAnsi="宋体" w:eastAsia="宋体" w:cs="宋体"/>
          <w:color w:val="auto"/>
          <w:sz w:val="24"/>
          <w:szCs w:val="24"/>
          <w:highlight w:val="none"/>
          <w:lang w:val="en-US" w:eastAsia="zh-CN"/>
        </w:rPr>
        <w:t>合同签订后</w:t>
      </w:r>
      <w:r>
        <w:rPr>
          <w:rFonts w:hint="eastAsia" w:cs="宋体"/>
          <w:color w:val="auto"/>
          <w:sz w:val="24"/>
          <w:szCs w:val="24"/>
          <w:highlight w:val="none"/>
          <w:lang w:val="en-US" w:eastAsia="zh-CN"/>
        </w:rPr>
        <w:t>30日内</w:t>
      </w:r>
      <w:r>
        <w:rPr>
          <w:rFonts w:hint="eastAsia" w:ascii="宋体" w:hAnsi="宋体" w:eastAsia="宋体" w:cs="宋体"/>
          <w:color w:val="auto"/>
          <w:sz w:val="24"/>
          <w:szCs w:val="24"/>
          <w:highlight w:val="none"/>
          <w:lang w:val="en-US" w:eastAsia="zh-CN"/>
        </w:rPr>
        <w:t>。</w:t>
      </w:r>
    </w:p>
    <w:p w14:paraId="394C4837">
      <w:pPr>
        <w:pStyle w:val="4"/>
        <w:keepNext w:val="0"/>
        <w:keepLines w:val="0"/>
        <w:pageBreakBefore w:val="0"/>
        <w:widowControl w:val="0"/>
        <w:kinsoku/>
        <w:wordWrap/>
        <w:topLinePunct w:val="0"/>
        <w:autoSpaceDE/>
        <w:autoSpaceDN/>
        <w:bidi w:val="0"/>
        <w:snapToGrid/>
        <w:spacing w:line="380" w:lineRule="exact"/>
        <w:ind w:left="479" w:leftChars="228" w:firstLine="0" w:firstLineChars="0"/>
        <w:textAlignment w:val="auto"/>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2.交货地点：邻水县人民医院</w:t>
      </w:r>
      <w:r>
        <w:rPr>
          <w:rFonts w:hint="eastAsia" w:ascii="宋体" w:hAnsi="宋体" w:eastAsia="宋体" w:cs="宋体"/>
          <w:color w:val="auto"/>
          <w:sz w:val="24"/>
          <w:szCs w:val="24"/>
          <w:highlight w:val="none"/>
          <w:lang w:val="en-US" w:eastAsia="zh-CN"/>
        </w:rPr>
        <w:t>。</w:t>
      </w:r>
    </w:p>
    <w:p w14:paraId="11FEC2D4">
      <w:pPr>
        <w:pStyle w:val="4"/>
        <w:keepNext w:val="0"/>
        <w:keepLines w:val="0"/>
        <w:pageBreakBefore w:val="0"/>
        <w:widowControl w:val="0"/>
        <w:kinsoku/>
        <w:wordWrap/>
        <w:topLinePunct w:val="0"/>
        <w:autoSpaceDE/>
        <w:autoSpaceDN/>
        <w:bidi w:val="0"/>
        <w:snapToGrid/>
        <w:spacing w:line="380" w:lineRule="exact"/>
        <w:ind w:left="0" w:leftChars="0" w:firstLine="480" w:firstLineChars="200"/>
        <w:textAlignment w:val="auto"/>
        <w:rPr>
          <w:rFonts w:hint="eastAsia" w:cs="宋体"/>
          <w:color w:val="auto"/>
          <w:sz w:val="24"/>
          <w:szCs w:val="24"/>
          <w:highlight w:val="none"/>
          <w:lang w:val="en-US" w:eastAsia="zh-CN"/>
        </w:rPr>
      </w:pPr>
      <w:r>
        <w:rPr>
          <w:rFonts w:hint="eastAsia" w:cs="宋体"/>
          <w:color w:val="auto"/>
          <w:sz w:val="24"/>
          <w:szCs w:val="24"/>
          <w:highlight w:val="none"/>
          <w:lang w:val="en-US" w:eastAsia="zh-CN"/>
        </w:rPr>
        <w:t>3.验收标准：采购项目履约完成后，采购人应严格按照</w:t>
      </w:r>
      <w:r>
        <w:rPr>
          <w:rFonts w:hint="eastAsia" w:ascii="宋体" w:hAnsi="宋体" w:eastAsia="宋体" w:cs="宋体"/>
          <w:color w:val="auto"/>
          <w:sz w:val="24"/>
          <w:highlight w:val="none"/>
        </w:rPr>
        <w:t>《财政部关于进一步加强政府采购需求和履约验收管理的指导意见》（财库〔2016〕205号）</w:t>
      </w:r>
      <w:r>
        <w:rPr>
          <w:rFonts w:hint="eastAsia" w:cs="宋体"/>
          <w:color w:val="auto"/>
          <w:sz w:val="24"/>
          <w:szCs w:val="24"/>
          <w:highlight w:val="none"/>
          <w:lang w:val="en-US" w:eastAsia="zh-CN"/>
        </w:rPr>
        <w:t>的要求进行验收，</w:t>
      </w:r>
      <w:r>
        <w:rPr>
          <w:rFonts w:hint="eastAsia" w:ascii="宋体" w:hAnsi="宋体" w:cs="宋体"/>
          <w:color w:val="auto"/>
          <w:sz w:val="24"/>
          <w:szCs w:val="24"/>
          <w:highlight w:val="none"/>
          <w:lang w:val="en-US" w:eastAsia="zh-CN"/>
        </w:rPr>
        <w:t>必须与投标文件应答的配置和技术参数一致。</w:t>
      </w:r>
      <w:r>
        <w:rPr>
          <w:rFonts w:hint="eastAsia" w:cs="宋体"/>
          <w:color w:val="auto"/>
          <w:sz w:val="24"/>
          <w:szCs w:val="24"/>
          <w:highlight w:val="none"/>
          <w:lang w:val="en-US" w:eastAsia="zh-CN"/>
        </w:rPr>
        <w:t>不得拒绝社会监督。</w:t>
      </w:r>
    </w:p>
    <w:p w14:paraId="7E360BF1">
      <w:pPr>
        <w:pStyle w:val="4"/>
        <w:keepNext w:val="0"/>
        <w:keepLines w:val="0"/>
        <w:pageBreakBefore w:val="0"/>
        <w:widowControl w:val="0"/>
        <w:kinsoku/>
        <w:wordWrap/>
        <w:topLinePunct w:val="0"/>
        <w:autoSpaceDE/>
        <w:autoSpaceDN/>
        <w:bidi w:val="0"/>
        <w:snapToGrid/>
        <w:spacing w:line="380" w:lineRule="exact"/>
        <w:textAlignment w:val="auto"/>
        <w:rPr>
          <w:rFonts w:hint="default" w:ascii="宋体" w:hAnsi="宋体" w:eastAsia="宋体" w:cs="宋体"/>
          <w:color w:val="auto"/>
          <w:sz w:val="24"/>
          <w:lang w:val="en-US" w:eastAsia="zh-CN"/>
        </w:rPr>
      </w:pPr>
      <w:r>
        <w:rPr>
          <w:rFonts w:hint="eastAsia" w:cs="宋体"/>
          <w:color w:val="auto"/>
          <w:sz w:val="24"/>
          <w:szCs w:val="24"/>
          <w:highlight w:val="none"/>
          <w:lang w:val="en-US" w:eastAsia="zh-CN"/>
        </w:rPr>
        <w:t>4.付款方式</w:t>
      </w:r>
      <w:r>
        <w:rPr>
          <w:rFonts w:hint="eastAsia" w:ascii="宋体" w:hAnsi="宋体" w:eastAsia="宋体" w:cs="宋体"/>
          <w:color w:val="auto"/>
          <w:sz w:val="24"/>
          <w:szCs w:val="24"/>
          <w:highlight w:val="none"/>
          <w:lang w:val="en-US" w:eastAsia="zh-CN"/>
        </w:rPr>
        <w:t>：</w:t>
      </w:r>
      <w:r>
        <w:rPr>
          <w:rFonts w:hint="eastAsia" w:cs="宋体"/>
          <w:color w:val="auto"/>
          <w:sz w:val="24"/>
          <w:szCs w:val="24"/>
          <w:highlight w:val="none"/>
          <w:lang w:val="en-US" w:eastAsia="zh-CN"/>
        </w:rPr>
        <w:t>一次性支付</w:t>
      </w:r>
      <w:r>
        <w:rPr>
          <w:rFonts w:hint="default" w:ascii="宋体" w:hAnsi="宋体" w:eastAsia="宋体" w:cs="宋体"/>
          <w:color w:val="auto"/>
          <w:sz w:val="24"/>
          <w:szCs w:val="24"/>
          <w:lang w:val="en-US" w:eastAsia="zh-CN"/>
        </w:rPr>
        <w:t>。</w:t>
      </w:r>
      <w:r>
        <w:rPr>
          <w:rFonts w:hint="eastAsia" w:ascii="宋体" w:hAnsi="宋体" w:eastAsia="宋体" w:cs="宋体"/>
          <w:color w:val="auto"/>
          <w:sz w:val="24"/>
          <w:lang w:val="en-US" w:eastAsia="zh-CN"/>
        </w:rPr>
        <w:t>验收完成且收到正式发票后，达到付款条件起30 日内，支付合同总金额的</w:t>
      </w:r>
      <w:r>
        <w:rPr>
          <w:rFonts w:hint="eastAsia" w:cs="宋体"/>
          <w:color w:val="auto"/>
          <w:sz w:val="24"/>
          <w:lang w:val="en-US" w:eastAsia="zh-CN"/>
        </w:rPr>
        <w:t>10</w:t>
      </w:r>
      <w:r>
        <w:rPr>
          <w:rFonts w:hint="eastAsia" w:ascii="宋体" w:hAnsi="宋体" w:eastAsia="宋体" w:cs="宋体"/>
          <w:color w:val="auto"/>
          <w:sz w:val="24"/>
          <w:lang w:val="en-US" w:eastAsia="zh-CN"/>
        </w:rPr>
        <w:t>0%。</w:t>
      </w:r>
    </w:p>
    <w:p w14:paraId="2F1A68AD">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376AB66C">
      <w:pPr>
        <w:pStyle w:val="4"/>
        <w:keepNext w:val="0"/>
        <w:keepLines w:val="0"/>
        <w:pageBreakBefore w:val="0"/>
        <w:widowControl w:val="0"/>
        <w:numPr>
          <w:ilvl w:val="0"/>
          <w:numId w:val="0"/>
        </w:numPr>
        <w:kinsoku/>
        <w:wordWrap/>
        <w:topLinePunct w:val="0"/>
        <w:autoSpaceDE/>
        <w:autoSpaceDN/>
        <w:bidi w:val="0"/>
        <w:snapToGrid/>
        <w:spacing w:line="380" w:lineRule="exact"/>
        <w:ind w:firstLine="480" w:firstLineChars="200"/>
        <w:textAlignment w:val="auto"/>
        <w:rPr>
          <w:rFonts w:hint="default" w:ascii="宋体" w:hAnsi="宋体" w:eastAsia="宋体" w:cs="Times New Roman"/>
          <w:sz w:val="24"/>
          <w:szCs w:val="24"/>
          <w:lang w:val="en-US" w:eastAsia="zh-CN"/>
        </w:rPr>
      </w:pPr>
      <w:r>
        <w:rPr>
          <w:rFonts w:hint="eastAsia" w:cs="宋体"/>
          <w:color w:val="auto"/>
          <w:sz w:val="24"/>
          <w:szCs w:val="24"/>
          <w:lang w:val="en-US" w:eastAsia="zh-CN"/>
        </w:rPr>
        <w:t>2.中标人承担项目实施过程中的一切安全责任和安全费用。</w:t>
      </w:r>
    </w:p>
    <w:p w14:paraId="32C19FF9">
      <w:pPr>
        <w:pStyle w:val="9"/>
        <w:rPr>
          <w:rFonts w:hint="eastAsia" w:ascii="黑体" w:hAnsi="宋体" w:eastAsia="黑体"/>
          <w:b/>
          <w:bCs/>
          <w:sz w:val="32"/>
          <w:szCs w:val="32"/>
        </w:rPr>
      </w:pPr>
    </w:p>
    <w:p w14:paraId="6D1D7589">
      <w:pPr>
        <w:pStyle w:val="17"/>
        <w:rPr>
          <w:rFonts w:hint="eastAsia" w:ascii="黑体" w:hAnsi="宋体" w:eastAsia="黑体"/>
          <w:b/>
          <w:bCs/>
          <w:sz w:val="32"/>
          <w:szCs w:val="32"/>
        </w:rPr>
      </w:pPr>
    </w:p>
    <w:p w14:paraId="74EC5DAA">
      <w:pPr>
        <w:pStyle w:val="17"/>
        <w:rPr>
          <w:rFonts w:hint="eastAsia" w:ascii="黑体" w:hAnsi="宋体" w:eastAsia="黑体"/>
          <w:b/>
          <w:bCs/>
          <w:sz w:val="32"/>
          <w:szCs w:val="32"/>
        </w:rPr>
      </w:pPr>
    </w:p>
    <w:p w14:paraId="1B91812D">
      <w:pPr>
        <w:pStyle w:val="17"/>
        <w:rPr>
          <w:rFonts w:hint="eastAsia" w:ascii="黑体" w:hAnsi="宋体" w:eastAsia="黑体"/>
          <w:b/>
          <w:bCs/>
          <w:sz w:val="32"/>
          <w:szCs w:val="32"/>
        </w:rPr>
      </w:pPr>
    </w:p>
    <w:p w14:paraId="3239FABB">
      <w:pPr>
        <w:pStyle w:val="17"/>
        <w:rPr>
          <w:rFonts w:hint="eastAsia" w:ascii="黑体" w:hAnsi="宋体" w:eastAsia="黑体"/>
          <w:b/>
          <w:bCs/>
          <w:sz w:val="32"/>
          <w:szCs w:val="32"/>
        </w:rPr>
      </w:pPr>
    </w:p>
    <w:p w14:paraId="45E475FB">
      <w:pPr>
        <w:pStyle w:val="17"/>
        <w:rPr>
          <w:rFonts w:hint="eastAsia"/>
        </w:rPr>
      </w:pPr>
    </w:p>
    <w:p w14:paraId="393225F3">
      <w:pPr>
        <w:tabs>
          <w:tab w:val="left" w:pos="7665"/>
        </w:tabs>
        <w:spacing w:line="400" w:lineRule="exact"/>
        <w:ind w:firstLine="482"/>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9"/>
        <w:rPr>
          <w:rFonts w:hint="eastAsia"/>
          <w:b/>
          <w:sz w:val="32"/>
          <w:szCs w:val="32"/>
        </w:rPr>
      </w:pPr>
    </w:p>
    <w:p w14:paraId="6FEF4D50">
      <w:pPr>
        <w:pStyle w:val="17"/>
        <w:rPr>
          <w:rFonts w:hint="eastAsia"/>
          <w:b/>
          <w:sz w:val="32"/>
          <w:szCs w:val="32"/>
        </w:rPr>
      </w:pPr>
    </w:p>
    <w:p w14:paraId="3E2BAE9F">
      <w:pPr>
        <w:pStyle w:val="17"/>
        <w:rPr>
          <w:rFonts w:hint="eastAsia"/>
          <w:b/>
          <w:sz w:val="32"/>
          <w:szCs w:val="32"/>
        </w:rPr>
      </w:pPr>
    </w:p>
    <w:p w14:paraId="31CC1F9B">
      <w:pPr>
        <w:pStyle w:val="17"/>
        <w:rPr>
          <w:rFonts w:hint="eastAsia"/>
          <w:b/>
          <w:sz w:val="32"/>
          <w:szCs w:val="32"/>
        </w:rPr>
      </w:pPr>
    </w:p>
    <w:p w14:paraId="66F4DD6C">
      <w:pPr>
        <w:pStyle w:val="17"/>
        <w:rPr>
          <w:rFonts w:hint="eastAsia"/>
          <w:b/>
          <w:sz w:val="32"/>
          <w:szCs w:val="32"/>
        </w:rPr>
      </w:pPr>
    </w:p>
    <w:p w14:paraId="1F7476C0">
      <w:pPr>
        <w:pStyle w:val="17"/>
        <w:rPr>
          <w:rFonts w:hint="eastAsia"/>
          <w:b/>
          <w:sz w:val="32"/>
          <w:szCs w:val="32"/>
        </w:rPr>
      </w:pPr>
    </w:p>
    <w:p w14:paraId="07E03867">
      <w:pPr>
        <w:jc w:val="center"/>
        <w:rPr>
          <w:rFonts w:hint="eastAsia"/>
          <w:b/>
          <w:sz w:val="32"/>
          <w:szCs w:val="32"/>
        </w:rPr>
      </w:pPr>
    </w:p>
    <w:p w14:paraId="42FD94D5">
      <w:pPr>
        <w:pStyle w:val="3"/>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9"/>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9"/>
        <w:rPr>
          <w:rFonts w:hint="eastAsia"/>
          <w:b/>
          <w:sz w:val="32"/>
          <w:szCs w:val="32"/>
        </w:rPr>
      </w:pPr>
    </w:p>
    <w:p w14:paraId="05FC895E">
      <w:pPr>
        <w:pStyle w:val="17"/>
        <w:rPr>
          <w:rFonts w:hint="eastAsia"/>
          <w:b/>
          <w:sz w:val="32"/>
          <w:szCs w:val="32"/>
        </w:rPr>
      </w:pPr>
    </w:p>
    <w:p w14:paraId="4573D810">
      <w:pPr>
        <w:pStyle w:val="17"/>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6"/>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9"/>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14:paraId="271EB8A6">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344"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948"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rPr>
            </w:pPr>
          </w:p>
        </w:tc>
        <w:tc>
          <w:tcPr>
            <w:tcW w:w="1275" w:type="dxa"/>
            <w:noWrap w:val="0"/>
            <w:vAlign w:val="top"/>
          </w:tcPr>
          <w:p w14:paraId="666E456F">
            <w:pPr>
              <w:rPr>
                <w:rFonts w:hint="eastAsia" w:ascii="宋体" w:hAnsi="宋体" w:cs="宋体"/>
                <w:sz w:val="24"/>
              </w:rPr>
            </w:pPr>
          </w:p>
        </w:tc>
        <w:tc>
          <w:tcPr>
            <w:tcW w:w="1418" w:type="dxa"/>
            <w:noWrap w:val="0"/>
            <w:vAlign w:val="top"/>
          </w:tcPr>
          <w:p w14:paraId="5790E83F">
            <w:pPr>
              <w:rPr>
                <w:rFonts w:hint="eastAsia" w:ascii="宋体" w:hAnsi="宋体" w:cs="宋体"/>
                <w:sz w:val="24"/>
              </w:rPr>
            </w:pPr>
          </w:p>
        </w:tc>
        <w:tc>
          <w:tcPr>
            <w:tcW w:w="850" w:type="dxa"/>
            <w:noWrap w:val="0"/>
            <w:vAlign w:val="top"/>
          </w:tcPr>
          <w:p w14:paraId="019716E9">
            <w:pPr>
              <w:rPr>
                <w:rFonts w:hint="eastAsia" w:ascii="宋体" w:hAnsi="宋体" w:cs="宋体"/>
                <w:sz w:val="24"/>
              </w:rPr>
            </w:pPr>
          </w:p>
        </w:tc>
        <w:tc>
          <w:tcPr>
            <w:tcW w:w="851" w:type="dxa"/>
            <w:noWrap w:val="0"/>
            <w:vAlign w:val="top"/>
          </w:tcPr>
          <w:p w14:paraId="70AC489F">
            <w:pPr>
              <w:rPr>
                <w:rFonts w:hint="eastAsia" w:ascii="宋体" w:hAnsi="宋体" w:cs="宋体"/>
                <w:sz w:val="24"/>
              </w:rPr>
            </w:pPr>
          </w:p>
        </w:tc>
        <w:tc>
          <w:tcPr>
            <w:tcW w:w="1369" w:type="dxa"/>
            <w:noWrap w:val="0"/>
            <w:vAlign w:val="top"/>
          </w:tcPr>
          <w:p w14:paraId="075AA239">
            <w:pPr>
              <w:rPr>
                <w:rFonts w:hint="eastAsia" w:ascii="宋体" w:hAnsi="宋体" w:cs="宋体"/>
                <w:sz w:val="24"/>
              </w:rPr>
            </w:pPr>
          </w:p>
        </w:tc>
        <w:tc>
          <w:tcPr>
            <w:tcW w:w="1344" w:type="dxa"/>
            <w:noWrap w:val="0"/>
            <w:vAlign w:val="top"/>
          </w:tcPr>
          <w:p w14:paraId="7C16AB12">
            <w:pPr>
              <w:rPr>
                <w:rFonts w:hint="eastAsia" w:ascii="宋体" w:hAnsi="宋体" w:cs="宋体"/>
                <w:sz w:val="24"/>
              </w:rPr>
            </w:pPr>
          </w:p>
        </w:tc>
        <w:tc>
          <w:tcPr>
            <w:tcW w:w="948" w:type="dxa"/>
            <w:noWrap w:val="0"/>
            <w:vAlign w:val="top"/>
          </w:tcPr>
          <w:p w14:paraId="2CE54495">
            <w:pP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rPr>
            </w:pPr>
          </w:p>
        </w:tc>
        <w:tc>
          <w:tcPr>
            <w:tcW w:w="1275" w:type="dxa"/>
            <w:noWrap w:val="0"/>
            <w:vAlign w:val="top"/>
          </w:tcPr>
          <w:p w14:paraId="51C40E55">
            <w:pPr>
              <w:rPr>
                <w:rFonts w:hint="eastAsia" w:ascii="宋体" w:hAnsi="宋体" w:cs="宋体"/>
                <w:sz w:val="24"/>
              </w:rPr>
            </w:pPr>
          </w:p>
        </w:tc>
        <w:tc>
          <w:tcPr>
            <w:tcW w:w="1418" w:type="dxa"/>
            <w:noWrap w:val="0"/>
            <w:vAlign w:val="top"/>
          </w:tcPr>
          <w:p w14:paraId="19AFD5A5">
            <w:pPr>
              <w:rPr>
                <w:rFonts w:hint="eastAsia" w:ascii="宋体" w:hAnsi="宋体" w:cs="宋体"/>
                <w:sz w:val="24"/>
              </w:rPr>
            </w:pPr>
          </w:p>
        </w:tc>
        <w:tc>
          <w:tcPr>
            <w:tcW w:w="850" w:type="dxa"/>
            <w:noWrap w:val="0"/>
            <w:vAlign w:val="top"/>
          </w:tcPr>
          <w:p w14:paraId="41F6162C">
            <w:pPr>
              <w:rPr>
                <w:rFonts w:hint="eastAsia" w:ascii="宋体" w:hAnsi="宋体" w:cs="宋体"/>
                <w:sz w:val="24"/>
              </w:rPr>
            </w:pPr>
          </w:p>
        </w:tc>
        <w:tc>
          <w:tcPr>
            <w:tcW w:w="851" w:type="dxa"/>
            <w:noWrap w:val="0"/>
            <w:vAlign w:val="top"/>
          </w:tcPr>
          <w:p w14:paraId="2AFA331D">
            <w:pPr>
              <w:rPr>
                <w:rFonts w:hint="eastAsia" w:ascii="宋体" w:hAnsi="宋体" w:cs="宋体"/>
                <w:sz w:val="24"/>
              </w:rPr>
            </w:pPr>
          </w:p>
        </w:tc>
        <w:tc>
          <w:tcPr>
            <w:tcW w:w="1369" w:type="dxa"/>
            <w:noWrap w:val="0"/>
            <w:vAlign w:val="top"/>
          </w:tcPr>
          <w:p w14:paraId="7D8185DC">
            <w:pPr>
              <w:rPr>
                <w:rFonts w:hint="eastAsia" w:ascii="宋体" w:hAnsi="宋体" w:cs="宋体"/>
                <w:sz w:val="24"/>
              </w:rPr>
            </w:pPr>
          </w:p>
        </w:tc>
        <w:tc>
          <w:tcPr>
            <w:tcW w:w="1344" w:type="dxa"/>
            <w:noWrap w:val="0"/>
            <w:vAlign w:val="top"/>
          </w:tcPr>
          <w:p w14:paraId="6898DAA1">
            <w:pPr>
              <w:rPr>
                <w:rFonts w:hint="eastAsia" w:ascii="宋体" w:hAnsi="宋体" w:cs="宋体"/>
                <w:sz w:val="24"/>
              </w:rPr>
            </w:pPr>
          </w:p>
        </w:tc>
        <w:tc>
          <w:tcPr>
            <w:tcW w:w="948" w:type="dxa"/>
            <w:noWrap w:val="0"/>
            <w:vAlign w:val="top"/>
          </w:tcPr>
          <w:p w14:paraId="4AE2730D">
            <w:pP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rPr>
            </w:pPr>
          </w:p>
        </w:tc>
        <w:tc>
          <w:tcPr>
            <w:tcW w:w="1275" w:type="dxa"/>
            <w:noWrap w:val="0"/>
            <w:vAlign w:val="top"/>
          </w:tcPr>
          <w:p w14:paraId="461DD8F2">
            <w:pPr>
              <w:rPr>
                <w:rFonts w:hint="eastAsia" w:ascii="宋体" w:hAnsi="宋体" w:cs="宋体"/>
                <w:sz w:val="24"/>
              </w:rPr>
            </w:pPr>
          </w:p>
        </w:tc>
        <w:tc>
          <w:tcPr>
            <w:tcW w:w="1418" w:type="dxa"/>
            <w:noWrap w:val="0"/>
            <w:vAlign w:val="top"/>
          </w:tcPr>
          <w:p w14:paraId="5AA2606A">
            <w:pPr>
              <w:rPr>
                <w:rFonts w:hint="eastAsia" w:ascii="宋体" w:hAnsi="宋体" w:cs="宋体"/>
                <w:sz w:val="24"/>
              </w:rPr>
            </w:pPr>
          </w:p>
        </w:tc>
        <w:tc>
          <w:tcPr>
            <w:tcW w:w="850" w:type="dxa"/>
            <w:noWrap w:val="0"/>
            <w:vAlign w:val="top"/>
          </w:tcPr>
          <w:p w14:paraId="2AF75DCC">
            <w:pPr>
              <w:rPr>
                <w:rFonts w:hint="eastAsia" w:ascii="宋体" w:hAnsi="宋体" w:cs="宋体"/>
                <w:sz w:val="24"/>
              </w:rPr>
            </w:pPr>
          </w:p>
        </w:tc>
        <w:tc>
          <w:tcPr>
            <w:tcW w:w="851" w:type="dxa"/>
            <w:noWrap w:val="0"/>
            <w:vAlign w:val="top"/>
          </w:tcPr>
          <w:p w14:paraId="7E1E17CC">
            <w:pPr>
              <w:rPr>
                <w:rFonts w:hint="eastAsia" w:ascii="宋体" w:hAnsi="宋体" w:cs="宋体"/>
                <w:sz w:val="24"/>
              </w:rPr>
            </w:pPr>
          </w:p>
        </w:tc>
        <w:tc>
          <w:tcPr>
            <w:tcW w:w="1369" w:type="dxa"/>
            <w:noWrap w:val="0"/>
            <w:vAlign w:val="top"/>
          </w:tcPr>
          <w:p w14:paraId="6EE9DA5A">
            <w:pPr>
              <w:rPr>
                <w:rFonts w:hint="eastAsia" w:ascii="宋体" w:hAnsi="宋体" w:cs="宋体"/>
                <w:sz w:val="24"/>
              </w:rPr>
            </w:pPr>
          </w:p>
        </w:tc>
        <w:tc>
          <w:tcPr>
            <w:tcW w:w="1344" w:type="dxa"/>
            <w:noWrap w:val="0"/>
            <w:vAlign w:val="top"/>
          </w:tcPr>
          <w:p w14:paraId="7F72D9BF">
            <w:pPr>
              <w:rPr>
                <w:rFonts w:hint="eastAsia" w:ascii="宋体" w:hAnsi="宋体" w:cs="宋体"/>
                <w:sz w:val="24"/>
              </w:rPr>
            </w:pPr>
          </w:p>
        </w:tc>
        <w:tc>
          <w:tcPr>
            <w:tcW w:w="948" w:type="dxa"/>
            <w:noWrap w:val="0"/>
            <w:vAlign w:val="top"/>
          </w:tcPr>
          <w:p w14:paraId="6DCE5853">
            <w:pP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9"/>
        <w:rPr>
          <w:rFonts w:hint="eastAsia" w:ascii="宋体" w:hAnsi="宋体"/>
          <w:b/>
          <w:bCs/>
          <w:sz w:val="32"/>
          <w:szCs w:val="32"/>
          <w:lang w:eastAsia="zh-CN"/>
        </w:rPr>
      </w:pPr>
    </w:p>
    <w:p w14:paraId="69E200E7">
      <w:pPr>
        <w:pStyle w:val="17"/>
        <w:rPr>
          <w:rFonts w:hint="eastAsia"/>
          <w:lang w:eastAsia="zh-CN"/>
        </w:rPr>
      </w:pPr>
    </w:p>
    <w:p w14:paraId="03EF6F1C">
      <w:pPr>
        <w:pStyle w:val="17"/>
        <w:rPr>
          <w:rFonts w:hint="eastAsia"/>
          <w:lang w:eastAsia="zh-CN"/>
        </w:rPr>
      </w:pPr>
    </w:p>
    <w:p w14:paraId="43E5E025">
      <w:pPr>
        <w:jc w:val="center"/>
        <w:rPr>
          <w:rFonts w:hint="eastAsia" w:ascii="宋体" w:hAnsi="宋体"/>
          <w:b/>
          <w:bCs/>
          <w:sz w:val="32"/>
          <w:szCs w:val="32"/>
          <w:lang w:eastAsia="zh-CN"/>
        </w:rPr>
      </w:pPr>
    </w:p>
    <w:p w14:paraId="0853C5FC">
      <w:pPr>
        <w:pStyle w:val="9"/>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3"/>
        <w:pBdr>
          <w:bottom w:val="none" w:color="auto" w:sz="0" w:space="0"/>
        </w:pBdr>
        <w:tabs>
          <w:tab w:val="clear" w:pos="4153"/>
          <w:tab w:val="clear" w:pos="8306"/>
        </w:tabs>
        <w:snapToGrid/>
        <w:jc w:val="both"/>
        <w:rPr>
          <w:rFonts w:hint="eastAsia" w:ascii="宋体" w:hAnsi="宋体"/>
          <w:sz w:val="24"/>
          <w:szCs w:val="24"/>
        </w:rPr>
      </w:pPr>
    </w:p>
    <w:p w14:paraId="64CDB550">
      <w:pPr>
        <w:pStyle w:val="13"/>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9"/>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11"/>
        <w:tabs>
          <w:tab w:val="left" w:pos="0"/>
        </w:tabs>
        <w:spacing w:after="0" w:line="400" w:lineRule="exact"/>
        <w:rPr>
          <w:rFonts w:hint="eastAsia"/>
        </w:rPr>
      </w:pPr>
    </w:p>
    <w:p w14:paraId="09233E8B">
      <w:pPr>
        <w:pStyle w:val="11"/>
        <w:tabs>
          <w:tab w:val="left" w:pos="0"/>
        </w:tabs>
        <w:rPr>
          <w:rFonts w:hint="eastAsia"/>
        </w:rPr>
      </w:pPr>
    </w:p>
    <w:p w14:paraId="5BF951EE">
      <w:pPr>
        <w:pStyle w:val="11"/>
        <w:tabs>
          <w:tab w:val="left" w:pos="0"/>
        </w:tabs>
        <w:rPr>
          <w:rFonts w:hint="eastAsia"/>
        </w:rPr>
      </w:pPr>
    </w:p>
    <w:p w14:paraId="1EACDFB2">
      <w:pPr>
        <w:pStyle w:val="11"/>
        <w:tabs>
          <w:tab w:val="left" w:pos="0"/>
        </w:tabs>
        <w:rPr>
          <w:rFonts w:hint="eastAsia"/>
        </w:rPr>
      </w:pPr>
    </w:p>
    <w:p w14:paraId="49BA259B">
      <w:pPr>
        <w:pStyle w:val="11"/>
        <w:tabs>
          <w:tab w:val="left" w:pos="0"/>
        </w:tabs>
        <w:rPr>
          <w:rFonts w:hint="eastAsia"/>
        </w:rPr>
      </w:pPr>
    </w:p>
    <w:p w14:paraId="26D6F00E">
      <w:pPr>
        <w:pStyle w:val="11"/>
        <w:tabs>
          <w:tab w:val="left" w:pos="0"/>
        </w:tabs>
        <w:rPr>
          <w:rFonts w:hint="eastAsia"/>
        </w:rPr>
      </w:pPr>
    </w:p>
    <w:p w14:paraId="587DFC25">
      <w:pPr>
        <w:pStyle w:val="11"/>
        <w:tabs>
          <w:tab w:val="left" w:pos="0"/>
        </w:tabs>
        <w:ind w:left="0" w:leftChars="0" w:firstLine="0" w:firstLineChars="0"/>
        <w:jc w:val="both"/>
        <w:rPr>
          <w:rFonts w:hint="eastAsia"/>
          <w:b/>
          <w:sz w:val="32"/>
          <w:szCs w:val="32"/>
        </w:rPr>
      </w:pPr>
    </w:p>
    <w:p w14:paraId="0FD1EA34">
      <w:pPr>
        <w:pStyle w:val="11"/>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3"/>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11"/>
        <w:tabs>
          <w:tab w:val="left" w:pos="0"/>
        </w:tabs>
        <w:jc w:val="center"/>
        <w:rPr>
          <w:rFonts w:hint="eastAsia"/>
        </w:rPr>
      </w:pPr>
    </w:p>
    <w:p w14:paraId="0CD2C491">
      <w:pPr>
        <w:pStyle w:val="11"/>
        <w:tabs>
          <w:tab w:val="left" w:pos="0"/>
        </w:tabs>
        <w:jc w:val="center"/>
        <w:rPr>
          <w:rFonts w:hint="eastAsia"/>
        </w:rPr>
      </w:pPr>
    </w:p>
    <w:p w14:paraId="51992F2D">
      <w:pPr>
        <w:pStyle w:val="11"/>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9"/>
        <w:rPr>
          <w:rFonts w:hint="eastAsia"/>
        </w:rPr>
      </w:pPr>
    </w:p>
    <w:p w14:paraId="43B5CC88">
      <w:pPr>
        <w:pStyle w:val="9"/>
        <w:rPr>
          <w:rFonts w:hint="eastAsia"/>
          <w:sz w:val="24"/>
        </w:rPr>
      </w:pPr>
    </w:p>
    <w:p w14:paraId="29EAF9DA">
      <w:pPr>
        <w:pStyle w:val="17"/>
        <w:rPr>
          <w:rFonts w:hint="eastAsia"/>
          <w:sz w:val="24"/>
        </w:rPr>
      </w:pPr>
    </w:p>
    <w:p w14:paraId="6F5E4E1A">
      <w:pPr>
        <w:jc w:val="center"/>
        <w:rPr>
          <w:b/>
          <w:sz w:val="32"/>
          <w:szCs w:val="32"/>
        </w:rPr>
      </w:pPr>
      <w:bookmarkStart w:id="30" w:name="_Toc17324"/>
      <w:bookmarkStart w:id="31" w:name="_Toc22280"/>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9"/>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17"/>
        <w:rPr>
          <w:sz w:val="24"/>
          <w:highlight w:val="white"/>
        </w:rPr>
      </w:pPr>
    </w:p>
    <w:p w14:paraId="4C0E06A2">
      <w:pPr>
        <w:pStyle w:val="17"/>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17"/>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17"/>
        <w:rPr>
          <w:rFonts w:hint="eastAsia"/>
          <w:sz w:val="24"/>
          <w:highlight w:val="white"/>
        </w:rPr>
      </w:pPr>
    </w:p>
    <w:p w14:paraId="1C83667E">
      <w:pPr>
        <w:pStyle w:val="17"/>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17"/>
        <w:rPr>
          <w:rFonts w:hint="eastAsia"/>
          <w:sz w:val="24"/>
          <w:highlight w:val="white"/>
        </w:rPr>
      </w:pPr>
    </w:p>
    <w:p w14:paraId="632478B8">
      <w:pPr>
        <w:pStyle w:val="17"/>
        <w:rPr>
          <w:rFonts w:hint="eastAsia"/>
          <w:sz w:val="24"/>
          <w:highlight w:val="white"/>
        </w:rPr>
      </w:pPr>
    </w:p>
    <w:p w14:paraId="0483F5B2">
      <w:pPr>
        <w:pStyle w:val="17"/>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17"/>
        <w:rPr>
          <w:rFonts w:hint="eastAsia"/>
          <w:sz w:val="24"/>
          <w:highlight w:val="white"/>
        </w:rPr>
      </w:pPr>
    </w:p>
    <w:p w14:paraId="51D82C1E">
      <w:pPr>
        <w:rPr>
          <w:rFonts w:hint="eastAsia"/>
          <w:sz w:val="24"/>
          <w:highlight w:val="white"/>
        </w:rPr>
      </w:pPr>
    </w:p>
    <w:p w14:paraId="6D746924">
      <w:pPr>
        <w:pStyle w:val="9"/>
        <w:rPr>
          <w:rFonts w:hint="eastAsia"/>
          <w:sz w:val="24"/>
          <w:highlight w:val="white"/>
        </w:rPr>
      </w:pPr>
    </w:p>
    <w:p w14:paraId="0505B11F">
      <w:pPr>
        <w:pStyle w:val="17"/>
        <w:rPr>
          <w:rFonts w:hint="eastAsia"/>
          <w:sz w:val="24"/>
          <w:highlight w:val="white"/>
        </w:rPr>
      </w:pPr>
    </w:p>
    <w:p w14:paraId="349F1E08">
      <w:pPr>
        <w:rPr>
          <w:rFonts w:hint="eastAsia"/>
          <w:sz w:val="24"/>
          <w:highlight w:val="white"/>
        </w:rPr>
      </w:pPr>
    </w:p>
    <w:p w14:paraId="1B147E75">
      <w:pPr>
        <w:pStyle w:val="9"/>
        <w:rPr>
          <w:rFonts w:hint="eastAsia"/>
          <w:sz w:val="24"/>
          <w:highlight w:val="white"/>
        </w:rPr>
      </w:pPr>
    </w:p>
    <w:p w14:paraId="35C9DB1F">
      <w:pPr>
        <w:pStyle w:val="17"/>
        <w:rPr>
          <w:rFonts w:hint="eastAsia"/>
          <w:sz w:val="24"/>
          <w:highlight w:val="white"/>
        </w:rPr>
      </w:pPr>
    </w:p>
    <w:p w14:paraId="71314514">
      <w:pPr>
        <w:rPr>
          <w:rFonts w:hint="eastAsia"/>
          <w:sz w:val="24"/>
          <w:highlight w:val="white"/>
        </w:rPr>
      </w:pPr>
    </w:p>
    <w:p w14:paraId="19CF632C">
      <w:pPr>
        <w:pStyle w:val="9"/>
        <w:rPr>
          <w:rFonts w:hint="eastAsia"/>
          <w:sz w:val="24"/>
          <w:highlight w:val="white"/>
        </w:rPr>
      </w:pPr>
    </w:p>
    <w:p w14:paraId="47381597">
      <w:pPr>
        <w:pStyle w:val="17"/>
        <w:rPr>
          <w:rFonts w:hint="eastAsia"/>
          <w:sz w:val="24"/>
          <w:highlight w:val="white"/>
        </w:rPr>
      </w:pPr>
    </w:p>
    <w:bookmarkEnd w:id="23"/>
    <w:bookmarkEnd w:id="24"/>
    <w:bookmarkEnd w:id="25"/>
    <w:bookmarkEnd w:id="30"/>
    <w:bookmarkEnd w:id="31"/>
    <w:p w14:paraId="6FFD20EA">
      <w:pPr>
        <w:pStyle w:val="2"/>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3"/>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9"/>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9"/>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9"/>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9"/>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9"/>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9"/>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9"/>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7"/>
        </w:numPr>
        <w:ind w:hanging="153"/>
        <w:rPr>
          <w:rFonts w:hint="eastAsia" w:ascii="黑体" w:hAnsi="宋体"/>
          <w:b/>
          <w:color w:val="000000"/>
          <w:sz w:val="24"/>
        </w:rPr>
      </w:pPr>
      <w:r>
        <w:rPr>
          <w:rFonts w:hint="eastAsia" w:ascii="黑体" w:hAnsi="宋体"/>
          <w:b/>
          <w:color w:val="000000"/>
          <w:sz w:val="24"/>
        </w:rPr>
        <w:t>合同货物</w:t>
      </w:r>
    </w:p>
    <w:tbl>
      <w:tblPr>
        <w:tblStyle w:val="1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4"/>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9"/>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9"/>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9"/>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9"/>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9"/>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9"/>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9"/>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9"/>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9"/>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9"/>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9"/>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9"/>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9"/>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9"/>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9"/>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9"/>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9"/>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9"/>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9"/>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9"/>
        <w:ind w:firstLine="482"/>
        <w:rPr>
          <w:rFonts w:hint="eastAsia" w:ascii="黑体"/>
          <w:b/>
        </w:rPr>
      </w:pPr>
      <w:r>
        <w:rPr>
          <w:rFonts w:hint="eastAsia" w:ascii="黑体"/>
          <w:b/>
        </w:rPr>
        <w:t>六、售后服务</w:t>
      </w:r>
    </w:p>
    <w:p w14:paraId="2EA2E5B6">
      <w:pPr>
        <w:pStyle w:val="29"/>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9"/>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9"/>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9"/>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9"/>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9"/>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9"/>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9"/>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9"/>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9"/>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9"/>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9"/>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9"/>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9"/>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9"/>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9"/>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9"/>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30"/>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50864527"/>
      <w:bookmarkStart w:id="33" w:name="_Toc349810624"/>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703020204020201"/>
    <w:charset w:val="86"/>
    <w:family w:val="auto"/>
    <w:pitch w:val="default"/>
    <w:sig w:usb0="80000287" w:usb1="080F3C52" w:usb2="00000016" w:usb3="00000000" w:csb0="0004001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12"/>
      <w:framePr w:wrap="around" w:vAnchor="text" w:hAnchor="margin" w:xAlign="outside" w:y="1"/>
      <w:jc w:val="center"/>
      <w:rPr>
        <w:rStyle w:val="23"/>
        <w:rFonts w:ascii="宋体" w:hAnsi="宋体" w:eastAsia="宋体" w:cs="Times New Roman"/>
        <w:sz w:val="28"/>
        <w:szCs w:val="28"/>
      </w:rPr>
    </w:pPr>
    <w:r>
      <w:rPr>
        <w:rFonts w:ascii="宋体" w:hAnsi="宋体" w:eastAsia="宋体" w:cs="Times New Roman"/>
        <w:sz w:val="28"/>
        <w:szCs w:val="28"/>
      </w:rPr>
      <w:fldChar w:fldCharType="begin"/>
    </w:r>
    <w:r>
      <w:rPr>
        <w:rStyle w:val="23"/>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23"/>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12"/>
      <w:framePr w:wrap="around" w:vAnchor="text" w:hAnchor="margin" w:xAlign="outside" w:y="1"/>
      <w:rPr>
        <w:rStyle w:val="23"/>
        <w:rFonts w:hint="eastAsia" w:ascii="Times New Roman" w:hAnsi="Times New Roman" w:eastAsia="宋体" w:cs="Times New Roman"/>
      </w:rPr>
    </w:pPr>
  </w:p>
  <w:p w14:paraId="2FA3308A">
    <w:pPr>
      <w:pStyle w:val="12"/>
      <w:framePr w:wrap="around" w:vAnchor="text" w:hAnchor="margin" w:xAlign="outside" w:y="1"/>
      <w:rPr>
        <w:rStyle w:val="23"/>
        <w:rFonts w:hint="eastAsia" w:ascii="Times New Roman" w:hAnsi="Times New Roman" w:eastAsia="宋体" w:cs="Times New Roman"/>
      </w:rPr>
    </w:pPr>
  </w:p>
  <w:p w14:paraId="74A77EF2">
    <w:pPr>
      <w:pStyle w:val="12"/>
      <w:framePr w:wrap="around" w:vAnchor="text" w:hAnchor="margin" w:xAlign="outside" w:y="1"/>
      <w:rPr>
        <w:rStyle w:val="23"/>
        <w:rFonts w:hint="eastAsia" w:ascii="Times New Roman" w:hAnsi="Times New Roman" w:eastAsia="宋体" w:cs="Times New Roman"/>
      </w:rPr>
    </w:pPr>
  </w:p>
  <w:p w14:paraId="06428C61">
    <w:pPr>
      <w:pStyle w:val="12"/>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12"/>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12"/>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12"/>
      <w:framePr w:wrap="around" w:vAnchor="text" w:hAnchor="margin" w:xAlign="outside" w:y="1"/>
      <w:jc w:val="center"/>
      <w:rPr>
        <w:rStyle w:val="23"/>
        <w:rFonts w:ascii="宋体" w:hAnsi="宋体"/>
        <w:sz w:val="28"/>
        <w:szCs w:val="28"/>
      </w:rPr>
    </w:pPr>
    <w:r>
      <w:rPr>
        <w:rFonts w:ascii="宋体" w:hAnsi="宋体"/>
        <w:sz w:val="28"/>
        <w:szCs w:val="28"/>
      </w:rPr>
      <w:fldChar w:fldCharType="begin"/>
    </w:r>
    <w:r>
      <w:rPr>
        <w:rStyle w:val="23"/>
        <w:rFonts w:ascii="宋体" w:hAnsi="宋体"/>
        <w:sz w:val="28"/>
        <w:szCs w:val="28"/>
      </w:rPr>
      <w:instrText xml:space="preserve">PAGE  </w:instrText>
    </w:r>
    <w:r>
      <w:rPr>
        <w:rFonts w:ascii="宋体" w:hAnsi="宋体"/>
        <w:sz w:val="28"/>
        <w:szCs w:val="28"/>
      </w:rPr>
      <w:fldChar w:fldCharType="separate"/>
    </w:r>
    <w:r>
      <w:rPr>
        <w:rStyle w:val="23"/>
        <w:rFonts w:ascii="宋体" w:hAnsi="宋体"/>
        <w:sz w:val="28"/>
        <w:szCs w:val="28"/>
      </w:rPr>
      <w:t>- 29 -</w:t>
    </w:r>
    <w:r>
      <w:rPr>
        <w:rFonts w:ascii="宋体" w:hAnsi="宋体"/>
        <w:sz w:val="28"/>
        <w:szCs w:val="28"/>
      </w:rPr>
      <w:fldChar w:fldCharType="end"/>
    </w:r>
  </w:p>
  <w:p w14:paraId="1B77E47F">
    <w:pPr>
      <w:pStyle w:val="12"/>
      <w:framePr w:wrap="around" w:vAnchor="text" w:hAnchor="margin" w:xAlign="outside" w:y="1"/>
      <w:rPr>
        <w:rStyle w:val="23"/>
        <w:rFonts w:hint="eastAsia"/>
      </w:rPr>
    </w:pPr>
  </w:p>
  <w:p w14:paraId="4A84BA1B">
    <w:pPr>
      <w:pStyle w:val="12"/>
      <w:framePr w:wrap="around" w:vAnchor="text" w:hAnchor="margin" w:xAlign="outside" w:y="1"/>
      <w:rPr>
        <w:rStyle w:val="23"/>
        <w:rFonts w:hint="eastAsia"/>
      </w:rPr>
    </w:pPr>
  </w:p>
  <w:p w14:paraId="4FA7D3F1">
    <w:pPr>
      <w:pStyle w:val="12"/>
      <w:framePr w:wrap="around" w:vAnchor="text" w:hAnchor="margin" w:xAlign="outside" w:y="1"/>
      <w:rPr>
        <w:rStyle w:val="23"/>
        <w:rFonts w:hint="eastAsia"/>
      </w:rPr>
    </w:pPr>
  </w:p>
  <w:p w14:paraId="6C2E5B50">
    <w:pPr>
      <w:pStyle w:val="12"/>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12"/>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12"/>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12"/>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12"/>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3"/>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0000000E"/>
    <w:multiLevelType w:val="multilevel"/>
    <w:tmpl w:val="0000000E"/>
    <w:lvl w:ilvl="0" w:tentative="0">
      <w:start w:val="1"/>
      <w:numFmt w:val="decimal"/>
      <w:lvlText w:val="%1."/>
      <w:lvlJc w:val="left"/>
    </w:lvl>
    <w:lvl w:ilvl="1" w:tentative="0">
      <w:start w:val="1"/>
      <w:numFmt w:val="decimal"/>
      <w:lvlText w:val="%1.%2"/>
      <w:lvlJc w:val="left"/>
    </w:lvl>
    <w:lvl w:ilvl="2" w:tentative="0">
      <w:start w:val="1"/>
      <w:numFmt w:val="decimal"/>
      <w:lvlText w:val="%1.%2.%3"/>
      <w:lvlJc w:val="left"/>
    </w:lvl>
    <w:lvl w:ilvl="3" w:tentative="0">
      <w:start w:val="1"/>
      <w:numFmt w:val="decimal"/>
      <w:pStyle w:val="6"/>
      <w:lvlText w:val="%1.%2.%3.%4"/>
      <w:lvlJc w:val="left"/>
    </w:lvl>
    <w:lvl w:ilvl="4" w:tentative="0">
      <w:start w:val="1"/>
      <w:numFmt w:val="decimal"/>
      <w:pStyle w:val="7"/>
      <w:lvlText w:val="%1.%2.%3.%4.%5"/>
      <w:lvlJc w:val="left"/>
    </w:lvl>
    <w:lvl w:ilvl="5" w:tentative="0">
      <w:start w:val="1"/>
      <w:numFmt w:val="decimal"/>
      <w:pStyle w:val="8"/>
      <w:lvlText w:val="%1.%2.%3.%4.%5.%6"/>
      <w:lvlJc w:val="left"/>
    </w:lvl>
    <w:lvl w:ilvl="6" w:tentative="0">
      <w:start w:val="1"/>
      <w:numFmt w:val="decimal"/>
      <w:lvlText w:val="%1.%2.%3.%4.%5.%6.%7"/>
      <w:lvlJc w:val="left"/>
    </w:lvl>
    <w:lvl w:ilvl="7" w:tentative="0">
      <w:start w:val="1"/>
      <w:numFmt w:val="decimal"/>
      <w:lvlText w:val="%1.%2.%3.%4.%5.%6.%7.%8"/>
      <w:lvlJc w:val="left"/>
    </w:lvl>
    <w:lvl w:ilvl="8" w:tentative="0">
      <w:start w:val="1"/>
      <w:numFmt w:val="decimal"/>
      <w:lvlText w:val="%1.%2.%3.%4.%5.%6.%7.%8.%9"/>
      <w:lvlJc w:val="left"/>
    </w:lvl>
  </w:abstractNum>
  <w:abstractNum w:abstractNumId="3">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4">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5A68016C"/>
    <w:multiLevelType w:val="singleLevel"/>
    <w:tmpl w:val="5A68016C"/>
    <w:lvl w:ilvl="0" w:tentative="0">
      <w:start w:val="2"/>
      <w:numFmt w:val="decimal"/>
      <w:suff w:val="nothing"/>
      <w:lvlText w:val="%1、"/>
      <w:lvlJc w:val="left"/>
      <w:pPr>
        <w:ind w:left="481" w:firstLine="0"/>
      </w:pPr>
    </w:lvl>
  </w:abstractNum>
  <w:abstractNum w:abstractNumId="6">
    <w:nsid w:val="5A7124DB"/>
    <w:multiLevelType w:val="singleLevel"/>
    <w:tmpl w:val="5A7124DB"/>
    <w:lvl w:ilvl="0" w:tentative="0">
      <w:start w:val="6"/>
      <w:numFmt w:val="chineseCounting"/>
      <w:suff w:val="nothing"/>
      <w:lvlText w:val="%1、"/>
      <w:lvlJc w:val="left"/>
    </w:lvl>
  </w:abstractNum>
  <w:num w:numId="1">
    <w:abstractNumId w:val="2"/>
  </w:num>
  <w:num w:numId="2">
    <w:abstractNumId w:val="3"/>
  </w:num>
  <w:num w:numId="3">
    <w:abstractNumId w:val="1"/>
  </w:num>
  <w:num w:numId="4">
    <w:abstractNumId w:val="5"/>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3312117"/>
    <w:rsid w:val="03382710"/>
    <w:rsid w:val="044E51C5"/>
    <w:rsid w:val="04A56D22"/>
    <w:rsid w:val="05A73BC6"/>
    <w:rsid w:val="05C95532"/>
    <w:rsid w:val="05CE4006"/>
    <w:rsid w:val="061044D7"/>
    <w:rsid w:val="069E4015"/>
    <w:rsid w:val="06BF1338"/>
    <w:rsid w:val="082774BE"/>
    <w:rsid w:val="09124A1D"/>
    <w:rsid w:val="093C1496"/>
    <w:rsid w:val="095F7AF5"/>
    <w:rsid w:val="0A002AA2"/>
    <w:rsid w:val="0B9F3C77"/>
    <w:rsid w:val="0C466419"/>
    <w:rsid w:val="0C48123D"/>
    <w:rsid w:val="0C6738C3"/>
    <w:rsid w:val="0C72629B"/>
    <w:rsid w:val="0D6D5659"/>
    <w:rsid w:val="0EDF143F"/>
    <w:rsid w:val="0EF96A7C"/>
    <w:rsid w:val="0F1C1021"/>
    <w:rsid w:val="100F3D7F"/>
    <w:rsid w:val="108E0E58"/>
    <w:rsid w:val="11C753B0"/>
    <w:rsid w:val="1200267B"/>
    <w:rsid w:val="12224C84"/>
    <w:rsid w:val="12A450B5"/>
    <w:rsid w:val="12F16635"/>
    <w:rsid w:val="13D91CFB"/>
    <w:rsid w:val="14322531"/>
    <w:rsid w:val="151A33DD"/>
    <w:rsid w:val="15C06EFA"/>
    <w:rsid w:val="15C252D6"/>
    <w:rsid w:val="16FE5738"/>
    <w:rsid w:val="17076BA6"/>
    <w:rsid w:val="17214185"/>
    <w:rsid w:val="17AC53CA"/>
    <w:rsid w:val="17D16426"/>
    <w:rsid w:val="188620FB"/>
    <w:rsid w:val="18D362B4"/>
    <w:rsid w:val="19575943"/>
    <w:rsid w:val="195A66FF"/>
    <w:rsid w:val="196E39FC"/>
    <w:rsid w:val="19970C16"/>
    <w:rsid w:val="1A412630"/>
    <w:rsid w:val="1A705BA0"/>
    <w:rsid w:val="1C790BEF"/>
    <w:rsid w:val="1CC21F8E"/>
    <w:rsid w:val="1DDF0350"/>
    <w:rsid w:val="1F7A022C"/>
    <w:rsid w:val="1FBF6B0B"/>
    <w:rsid w:val="1FE43AF7"/>
    <w:rsid w:val="204A081C"/>
    <w:rsid w:val="205058A7"/>
    <w:rsid w:val="20714280"/>
    <w:rsid w:val="207460AE"/>
    <w:rsid w:val="21427125"/>
    <w:rsid w:val="21CC3154"/>
    <w:rsid w:val="22947F00"/>
    <w:rsid w:val="22E84BEF"/>
    <w:rsid w:val="23902475"/>
    <w:rsid w:val="239E61C1"/>
    <w:rsid w:val="248F084E"/>
    <w:rsid w:val="259801CB"/>
    <w:rsid w:val="25F9360F"/>
    <w:rsid w:val="268F0FD1"/>
    <w:rsid w:val="27644041"/>
    <w:rsid w:val="28FC7A35"/>
    <w:rsid w:val="2A1047F1"/>
    <w:rsid w:val="2A745C14"/>
    <w:rsid w:val="2AAA30F8"/>
    <w:rsid w:val="2AE95BE6"/>
    <w:rsid w:val="2AE9675F"/>
    <w:rsid w:val="2B4F4C91"/>
    <w:rsid w:val="2B7E6357"/>
    <w:rsid w:val="2BAB1AA3"/>
    <w:rsid w:val="2C0F10F4"/>
    <w:rsid w:val="2C153338"/>
    <w:rsid w:val="2C974493"/>
    <w:rsid w:val="2D543928"/>
    <w:rsid w:val="2D5B63DD"/>
    <w:rsid w:val="2D862680"/>
    <w:rsid w:val="2DBA37B3"/>
    <w:rsid w:val="2DDA0375"/>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CF6C67"/>
    <w:rsid w:val="399E4444"/>
    <w:rsid w:val="39F6064F"/>
    <w:rsid w:val="3A027D9F"/>
    <w:rsid w:val="3AAA3917"/>
    <w:rsid w:val="3ADD3456"/>
    <w:rsid w:val="3B4B5EE5"/>
    <w:rsid w:val="3B971312"/>
    <w:rsid w:val="3BA20ED0"/>
    <w:rsid w:val="3C64337B"/>
    <w:rsid w:val="3D255EAC"/>
    <w:rsid w:val="3DA22932"/>
    <w:rsid w:val="3E1E4076"/>
    <w:rsid w:val="3F806480"/>
    <w:rsid w:val="427A2742"/>
    <w:rsid w:val="42EA597B"/>
    <w:rsid w:val="435B5C38"/>
    <w:rsid w:val="43D77B72"/>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502686"/>
    <w:rsid w:val="498F7B0C"/>
    <w:rsid w:val="4A1A4C1E"/>
    <w:rsid w:val="4A6A4F1F"/>
    <w:rsid w:val="4AE905BD"/>
    <w:rsid w:val="4AF905C9"/>
    <w:rsid w:val="4B4357DF"/>
    <w:rsid w:val="4C192B2B"/>
    <w:rsid w:val="4C5A31D0"/>
    <w:rsid w:val="4C667968"/>
    <w:rsid w:val="4D094EC3"/>
    <w:rsid w:val="4D3F2ADF"/>
    <w:rsid w:val="4DAE4B4F"/>
    <w:rsid w:val="4E6E2C07"/>
    <w:rsid w:val="4EBF4055"/>
    <w:rsid w:val="4EC400D5"/>
    <w:rsid w:val="4EDD2E4D"/>
    <w:rsid w:val="4F45676F"/>
    <w:rsid w:val="4F9B62CA"/>
    <w:rsid w:val="501D6280"/>
    <w:rsid w:val="50E32F3E"/>
    <w:rsid w:val="52D75F1F"/>
    <w:rsid w:val="54E61D80"/>
    <w:rsid w:val="552B0390"/>
    <w:rsid w:val="560A5808"/>
    <w:rsid w:val="562A7CF5"/>
    <w:rsid w:val="56356D29"/>
    <w:rsid w:val="56383356"/>
    <w:rsid w:val="56537BBB"/>
    <w:rsid w:val="566D68DF"/>
    <w:rsid w:val="5691060A"/>
    <w:rsid w:val="56B1772C"/>
    <w:rsid w:val="56F47B21"/>
    <w:rsid w:val="572063DD"/>
    <w:rsid w:val="573C5230"/>
    <w:rsid w:val="58375B00"/>
    <w:rsid w:val="584B5BE4"/>
    <w:rsid w:val="58905DEE"/>
    <w:rsid w:val="5901420E"/>
    <w:rsid w:val="59C232FC"/>
    <w:rsid w:val="59D3326C"/>
    <w:rsid w:val="5AA4447D"/>
    <w:rsid w:val="5AC63350"/>
    <w:rsid w:val="5ADB6F33"/>
    <w:rsid w:val="5BC27203"/>
    <w:rsid w:val="5C2C4CF4"/>
    <w:rsid w:val="5C4E7ACC"/>
    <w:rsid w:val="5C57765F"/>
    <w:rsid w:val="5CDC79F3"/>
    <w:rsid w:val="5D7E2CB1"/>
    <w:rsid w:val="5F3F5BA7"/>
    <w:rsid w:val="5F9C5684"/>
    <w:rsid w:val="5FAB2C98"/>
    <w:rsid w:val="5FF6089C"/>
    <w:rsid w:val="6005277B"/>
    <w:rsid w:val="603D5D93"/>
    <w:rsid w:val="622D6AC7"/>
    <w:rsid w:val="62835C1F"/>
    <w:rsid w:val="629F3F70"/>
    <w:rsid w:val="62AA68DE"/>
    <w:rsid w:val="632736DB"/>
    <w:rsid w:val="635A475F"/>
    <w:rsid w:val="64044C31"/>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801654"/>
    <w:rsid w:val="6E8E64EB"/>
    <w:rsid w:val="6F462AF9"/>
    <w:rsid w:val="6FB86553"/>
    <w:rsid w:val="70260E8E"/>
    <w:rsid w:val="707246A5"/>
    <w:rsid w:val="7128436B"/>
    <w:rsid w:val="7169640C"/>
    <w:rsid w:val="71726F7E"/>
    <w:rsid w:val="72124A65"/>
    <w:rsid w:val="73640109"/>
    <w:rsid w:val="73A42611"/>
    <w:rsid w:val="73BE5F83"/>
    <w:rsid w:val="73D310AA"/>
    <w:rsid w:val="750E512E"/>
    <w:rsid w:val="75AC5B7C"/>
    <w:rsid w:val="75F4747B"/>
    <w:rsid w:val="76427C85"/>
    <w:rsid w:val="772228AB"/>
    <w:rsid w:val="77DD2899"/>
    <w:rsid w:val="78A56A3C"/>
    <w:rsid w:val="78C220A2"/>
    <w:rsid w:val="78EF5160"/>
    <w:rsid w:val="791436BF"/>
    <w:rsid w:val="7A3410D9"/>
    <w:rsid w:val="7AA11235"/>
    <w:rsid w:val="7AC60D95"/>
    <w:rsid w:val="7B241064"/>
    <w:rsid w:val="7CB25553"/>
    <w:rsid w:val="7CCA39E8"/>
    <w:rsid w:val="7CDD2C63"/>
    <w:rsid w:val="7D147E0C"/>
    <w:rsid w:val="7D4434B8"/>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autoRedefine/>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9"/>
    <w:pPr>
      <w:keepNext/>
      <w:keepLines/>
      <w:numPr>
        <w:ilvl w:val="3"/>
        <w:numId w:val="1"/>
      </w:numPr>
      <w:adjustRightInd w:val="0"/>
      <w:spacing w:before="120" w:after="120" w:line="0" w:lineRule="atLeast"/>
      <w:textAlignment w:val="baseline"/>
      <w:outlineLvl w:val="3"/>
    </w:pPr>
    <w:rPr>
      <w:rFonts w:ascii="Arial" w:hAnsi="Arial" w:eastAsia="黑体"/>
      <w:kern w:val="0"/>
      <w:szCs w:val="20"/>
    </w:rPr>
  </w:style>
  <w:style w:type="paragraph" w:styleId="7">
    <w:name w:val="heading 5"/>
    <w:basedOn w:val="1"/>
    <w:next w:val="1"/>
    <w:qFormat/>
    <w:uiPriority w:val="0"/>
    <w:pPr>
      <w:keepNext/>
      <w:keepLines/>
      <w:numPr>
        <w:ilvl w:val="4"/>
        <w:numId w:val="1"/>
      </w:numPr>
      <w:adjustRightInd w:val="0"/>
      <w:spacing w:before="120" w:after="120" w:line="320" w:lineRule="atLeast"/>
      <w:textAlignment w:val="baseline"/>
      <w:outlineLvl w:val="4"/>
    </w:pPr>
    <w:rPr>
      <w:kern w:val="0"/>
      <w:szCs w:val="20"/>
    </w:rPr>
  </w:style>
  <w:style w:type="paragraph" w:styleId="8">
    <w:name w:val="heading 6"/>
    <w:basedOn w:val="1"/>
    <w:next w:val="1"/>
    <w:qFormat/>
    <w:uiPriority w:val="0"/>
    <w:pPr>
      <w:keepNext/>
      <w:keepLines/>
      <w:numPr>
        <w:ilvl w:val="5"/>
        <w:numId w:val="1"/>
      </w:numPr>
      <w:adjustRightInd w:val="0"/>
      <w:spacing w:before="240" w:after="64" w:line="320" w:lineRule="atLeast"/>
      <w:textAlignment w:val="baseline"/>
      <w:outlineLvl w:val="5"/>
    </w:pPr>
    <w:rPr>
      <w:rFonts w:ascii="Arial" w:hAnsi="Arial" w:eastAsia="黑体"/>
      <w:b/>
      <w:kern w:val="0"/>
      <w:sz w:val="24"/>
      <w:szCs w:val="20"/>
    </w:rPr>
  </w:style>
  <w:style w:type="character" w:default="1" w:styleId="21">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9">
    <w:name w:val="Body Text"/>
    <w:basedOn w:val="1"/>
    <w:autoRedefine/>
    <w:qFormat/>
    <w:uiPriority w:val="0"/>
    <w:pPr>
      <w:spacing w:after="120"/>
    </w:pPr>
    <w:rPr>
      <w:szCs w:val="22"/>
    </w:rPr>
  </w:style>
  <w:style w:type="paragraph" w:styleId="10">
    <w:name w:val="Body Text Indent"/>
    <w:basedOn w:val="1"/>
    <w:autoRedefine/>
    <w:qFormat/>
    <w:uiPriority w:val="0"/>
    <w:pPr>
      <w:ind w:firstLine="630"/>
    </w:pPr>
    <w:rPr>
      <w:sz w:val="32"/>
      <w:szCs w:val="20"/>
    </w:rPr>
  </w:style>
  <w:style w:type="paragraph" w:styleId="11">
    <w:name w:val="Body Text Indent 2"/>
    <w:basedOn w:val="1"/>
    <w:autoRedefine/>
    <w:qFormat/>
    <w:uiPriority w:val="0"/>
    <w:pPr>
      <w:spacing w:after="120" w:line="480" w:lineRule="auto"/>
      <w:ind w:left="420" w:leftChars="200"/>
    </w:pPr>
  </w:style>
  <w:style w:type="paragraph" w:styleId="12">
    <w:name w:val="footer"/>
    <w:basedOn w:val="1"/>
    <w:autoRedefine/>
    <w:qFormat/>
    <w:uiPriority w:val="99"/>
    <w:pPr>
      <w:tabs>
        <w:tab w:val="center" w:pos="4153"/>
        <w:tab w:val="right" w:pos="8306"/>
      </w:tabs>
      <w:snapToGrid w:val="0"/>
      <w:jc w:val="left"/>
    </w:pPr>
    <w:rPr>
      <w:sz w:val="18"/>
      <w:szCs w:val="20"/>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autoRedefine/>
    <w:qFormat/>
    <w:uiPriority w:val="0"/>
  </w:style>
  <w:style w:type="paragraph" w:styleId="15">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6">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7">
    <w:name w:val="Body Text First Indent"/>
    <w:basedOn w:val="9"/>
    <w:autoRedefine/>
    <w:qFormat/>
    <w:uiPriority w:val="0"/>
    <w:pPr>
      <w:ind w:firstLine="420" w:firstLineChars="100"/>
    </w:pPr>
  </w:style>
  <w:style w:type="paragraph" w:styleId="18">
    <w:name w:val="Body Text First Indent 2"/>
    <w:basedOn w:val="10"/>
    <w:unhideWhenUsed/>
    <w:qFormat/>
    <w:uiPriority w:val="99"/>
    <w:pPr>
      <w:ind w:firstLine="420"/>
    </w:p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autoRedefine/>
    <w:qFormat/>
    <w:uiPriority w:val="0"/>
    <w:rPr>
      <w:b/>
    </w:rPr>
  </w:style>
  <w:style w:type="character" w:styleId="23">
    <w:name w:val="page number"/>
    <w:basedOn w:val="21"/>
    <w:autoRedefine/>
    <w:qFormat/>
    <w:uiPriority w:val="0"/>
  </w:style>
  <w:style w:type="character" w:styleId="24">
    <w:name w:val="Hyperlink"/>
    <w:autoRedefine/>
    <w:qFormat/>
    <w:uiPriority w:val="99"/>
    <w:rPr>
      <w:rFonts w:ascii="Verdana" w:hAnsi="Verdana" w:cs="Verdana"/>
      <w:color w:val="000000"/>
      <w:sz w:val="18"/>
      <w:szCs w:val="18"/>
      <w:u w:val="none"/>
      <w:bdr w:val="single" w:color="6AAAA3" w:sz="2" w:space="0"/>
    </w:rPr>
  </w:style>
  <w:style w:type="paragraph" w:customStyle="1" w:styleId="25">
    <w:name w:val="正文首行缩进两字符"/>
    <w:basedOn w:val="1"/>
    <w:autoRedefine/>
    <w:qFormat/>
    <w:uiPriority w:val="0"/>
    <w:pPr>
      <w:spacing w:line="360" w:lineRule="auto"/>
      <w:ind w:firstLine="200" w:firstLineChars="200"/>
    </w:pPr>
  </w:style>
  <w:style w:type="paragraph" w:customStyle="1" w:styleId="26">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7">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8">
    <w:name w:val="Quote"/>
    <w:basedOn w:val="1"/>
    <w:next w:val="1"/>
    <w:autoRedefine/>
    <w:qFormat/>
    <w:uiPriority w:val="21"/>
    <w:pPr>
      <w:ind w:left="864" w:right="864"/>
      <w:jc w:val="center"/>
    </w:pPr>
    <w:rPr>
      <w:rFonts w:eastAsia="微软雅黑"/>
      <w:i/>
      <w:color w:val="404040"/>
      <w:szCs w:val="21"/>
    </w:rPr>
  </w:style>
  <w:style w:type="paragraph" w:customStyle="1" w:styleId="29">
    <w:name w:val="样式 首行缩进:  2 字符"/>
    <w:basedOn w:val="1"/>
    <w:autoRedefine/>
    <w:qFormat/>
    <w:uiPriority w:val="0"/>
    <w:pPr>
      <w:spacing w:line="400" w:lineRule="exact"/>
      <w:ind w:firstLine="200" w:firstLineChars="200"/>
    </w:pPr>
    <w:rPr>
      <w:rFonts w:cs="宋体"/>
      <w:sz w:val="24"/>
    </w:rPr>
  </w:style>
  <w:style w:type="paragraph" w:styleId="30">
    <w:name w:val="List Paragraph"/>
    <w:basedOn w:val="1"/>
    <w:autoRedefine/>
    <w:qFormat/>
    <w:uiPriority w:val="0"/>
    <w:pPr>
      <w:ind w:firstLine="420" w:firstLineChars="200"/>
    </w:pPr>
  </w:style>
  <w:style w:type="paragraph" w:customStyle="1" w:styleId="31">
    <w:name w:val="_Style 4"/>
    <w:basedOn w:val="1"/>
    <w:next w:val="30"/>
    <w:autoRedefine/>
    <w:qFormat/>
    <w:uiPriority w:val="0"/>
    <w:pPr>
      <w:ind w:firstLine="420"/>
    </w:pPr>
  </w:style>
  <w:style w:type="character" w:customStyle="1" w:styleId="32">
    <w:name w:val="NormalCharacter"/>
    <w:autoRedefine/>
    <w:qFormat/>
    <w:uiPriority w:val="0"/>
  </w:style>
  <w:style w:type="paragraph" w:customStyle="1" w:styleId="33">
    <w:name w:val="null3"/>
    <w:autoRedefine/>
    <w:hidden/>
    <w:qFormat/>
    <w:uiPriority w:val="0"/>
    <w:rPr>
      <w:rFonts w:hint="eastAsia" w:asciiTheme="minorHAnsi" w:hAnsiTheme="minorHAnsi" w:eastAsiaTheme="minorEastAsia" w:cstheme="minorBidi"/>
      <w:lang w:val="en-US" w:eastAsia="zh-Hans"/>
    </w:rPr>
  </w:style>
  <w:style w:type="paragraph" w:customStyle="1" w:styleId="34">
    <w:name w:val="列出段落1"/>
    <w:basedOn w:val="1"/>
    <w:qFormat/>
    <w:uiPriority w:val="34"/>
    <w:pPr>
      <w:ind w:firstLine="420" w:firstLineChars="200"/>
    </w:pPr>
  </w:style>
  <w:style w:type="paragraph" w:customStyle="1" w:styleId="35">
    <w:name w:val="列出段落11"/>
    <w:basedOn w:val="1"/>
    <w:qFormat/>
    <w:uiPriority w:val="0"/>
    <w:pPr>
      <w:spacing w:line="360" w:lineRule="auto"/>
      <w:ind w:firstLine="420" w:firstLineChars="200"/>
    </w:pPr>
    <w:rPr>
      <w:rFonts w:ascii="等线" w:hAnsi="等线" w:eastAsia="等线"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45</Pages>
  <Words>4953</Words>
  <Characters>5205</Characters>
  <Lines>0</Lines>
  <Paragraphs>0</Paragraphs>
  <TotalTime>5</TotalTime>
  <ScaleCrop>false</ScaleCrop>
  <LinksUpToDate>false</LinksUpToDate>
  <CharactersWithSpaces>5258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彭玉芬</cp:lastModifiedBy>
  <cp:lastPrinted>2024-09-03T01:38:00Z</cp:lastPrinted>
  <dcterms:modified xsi:type="dcterms:W3CDTF">2026-01-21T02:50:34Z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92632A8B351B45D8AC6B66E56411D6A4_13</vt:lpwstr>
  </property>
  <property fmtid="{D5CDD505-2E9C-101B-9397-08002B2CF9AE}" pid="4" name="KSOTemplateDocerSaveRecord">
    <vt:lpwstr>eyJoZGlkIjoiYWRhNDZmMjJlZTg3ODUxNTc2ZDgzOWQwOWZiN2FhNmEiLCJ1c2VySWQiOiIxNzc3MzEzNTU5In0=</vt:lpwstr>
  </property>
</Properties>
</file>