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锐器盒</w:t>
      </w:r>
    </w:p>
    <w:p w14:paraId="14DDC134">
      <w:pPr>
        <w:pStyle w:val="29"/>
        <w:jc w:val="center"/>
        <w:outlineLvl w:val="2"/>
      </w:pPr>
      <w:r>
        <w:rPr>
          <w:b/>
          <w:sz w:val="28"/>
        </w:rPr>
        <w:t>采购项目编号：</w:t>
      </w:r>
      <w:r>
        <w:rPr>
          <w:rFonts w:hint="eastAsia" w:ascii="宋体"/>
          <w:b/>
          <w:sz w:val="30"/>
          <w:szCs w:val="30"/>
          <w:lang w:eastAsia="zh-CN"/>
        </w:rPr>
        <w:t>LYC-2026-004</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1</w:t>
      </w:r>
      <w:r>
        <w:rPr>
          <w:b/>
          <w:sz w:val="28"/>
        </w:rPr>
        <w:t>月</w:t>
      </w:r>
      <w:r>
        <w:rPr>
          <w:rFonts w:hint="eastAsia"/>
          <w:b/>
          <w:sz w:val="28"/>
          <w:lang w:val="en-US" w:eastAsia="zh-CN"/>
        </w:rPr>
        <w:t>6</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4"/>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none"/>
          <w:lang w:val="en-US" w:eastAsia="zh-CN"/>
        </w:rPr>
        <w:t xml:space="preserve">LYC-2026-004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锐器盒</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11.25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10.685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13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报名。报名资料：营业执照、法人授权委托书、法定代表人及被授权人身份证复印件。报名后，收到本邮箱的“报名成功”回复才表示报名成功，否则视为报名无效。询价通知书在邻水县人民医院官网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加盖公章</w:t>
      </w:r>
      <w:r>
        <w:rPr>
          <w:rFonts w:hint="eastAsia" w:ascii="宋体" w:hAnsi="宋体" w:cs="宋体"/>
          <w:b w:val="0"/>
          <w:bCs/>
          <w:sz w:val="24"/>
          <w:lang w:eastAsia="zh-CN"/>
        </w:rPr>
        <w:t>的</w:t>
      </w:r>
      <w:r>
        <w:rPr>
          <w:rFonts w:hint="eastAsia" w:ascii="宋体" w:hAnsi="宋体" w:cs="宋体"/>
          <w:b w:val="0"/>
          <w:bCs/>
          <w:sz w:val="24"/>
        </w:rPr>
        <w:t>法人证明和身份证复印件），否则不予签到和接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、13882615861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1125</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highlight w:val="none"/>
                <w:lang w:val="en-US" w:eastAsia="zh-CN"/>
              </w:rPr>
              <w:t>10685</w:t>
            </w:r>
            <w:r>
              <w:rPr>
                <w:highlight w:val="none"/>
              </w:rPr>
              <w:t>0.00</w:t>
            </w:r>
            <w:r>
              <w:t>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标</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3"/>
        <w:rPr>
          <w:rFonts w:hint="eastAsia" w:ascii="黑体" w:hAnsi="Arial" w:eastAsia="黑体" w:cs="Times New Roman"/>
          <w:b/>
          <w:bCs w:val="0"/>
          <w:kern w:val="2"/>
          <w:sz w:val="32"/>
          <w:szCs w:val="32"/>
          <w:lang w:val="en-US" w:eastAsia="zh-CN" w:bidi="ar-SA"/>
        </w:rPr>
      </w:pPr>
    </w:p>
    <w:p w14:paraId="5C62FDB1">
      <w:pPr>
        <w:pStyle w:val="5"/>
        <w:keepNext w:val="0"/>
        <w:keepLines w:val="0"/>
        <w:spacing w:before="0" w:after="0" w:line="400" w:lineRule="exact"/>
        <w:jc w:val="center"/>
        <w:rPr>
          <w:rFonts w:hint="eastAsia" w:ascii="黑体"/>
          <w:bCs w:val="0"/>
        </w:rPr>
      </w:pPr>
      <w:bookmarkStart w:id="6" w:name="_Toc31240"/>
      <w:bookmarkStart w:id="7" w:name="_Toc15215"/>
      <w:bookmarkStart w:id="8" w:name="_Toc24295"/>
      <w:bookmarkStart w:id="9" w:name="_Toc13038"/>
      <w:bookmarkStart w:id="10" w:name="_Toc17067"/>
      <w:r>
        <w:rPr>
          <w:rFonts w:hint="eastAsia" w:ascii="黑体"/>
          <w:bCs w:val="0"/>
        </w:rPr>
        <w:t>二、总  则</w:t>
      </w:r>
    </w:p>
    <w:p w14:paraId="74C36BB9">
      <w:pPr>
        <w:pStyle w:val="7"/>
        <w:keepNext w:val="0"/>
        <w:keepLines w:val="0"/>
        <w:spacing w:before="0" w:after="0" w:line="400" w:lineRule="exact"/>
        <w:ind w:firstLine="480" w:firstLineChars="200"/>
        <w:rPr>
          <w:rFonts w:hint="eastAsia" w:ascii="宋体" w:hAnsi="宋体"/>
          <w:sz w:val="24"/>
        </w:rPr>
      </w:pPr>
    </w:p>
    <w:p w14:paraId="1EAF8FC7">
      <w:pPr>
        <w:pStyle w:val="7"/>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7"/>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6"/>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w:t>
      </w:r>
      <w:r>
        <w:rPr>
          <w:rFonts w:hint="eastAsia" w:ascii="宋体" w:hAnsi="宋体" w:cs="Times New Roman"/>
          <w:b w:val="0"/>
          <w:bCs/>
          <w:kern w:val="2"/>
          <w:sz w:val="24"/>
          <w:szCs w:val="24"/>
          <w:lang w:val="en-US" w:eastAsia="zh-CN" w:bidi="ar-SA"/>
        </w:rPr>
        <w:t>六</w:t>
      </w:r>
      <w:bookmarkStart w:id="34" w:name="_GoBack"/>
      <w:bookmarkEnd w:id="34"/>
      <w:r>
        <w:rPr>
          <w:rFonts w:hint="eastAsia" w:ascii="宋体" w:hAnsi="宋体" w:eastAsia="宋体" w:cs="Times New Roman"/>
          <w:b w:val="0"/>
          <w:bCs/>
          <w:kern w:val="2"/>
          <w:sz w:val="24"/>
          <w:szCs w:val="24"/>
          <w:lang w:val="en-US" w:eastAsia="zh-CN" w:bidi="ar-SA"/>
        </w:rPr>
        <w:t>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250646"/>
      <w:bookmarkStart w:id="13" w:name="_Toc101174151"/>
      <w:bookmarkStart w:id="14" w:name="_Toc430773927"/>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3"/>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2"/>
        <w:spacing w:line="500" w:lineRule="exact"/>
        <w:ind w:firstLine="480" w:firstLineChars="200"/>
        <w:rPr>
          <w:rFonts w:hint="eastAsia" w:ascii="宋体" w:hAnsi="宋体" w:cs="宋体"/>
          <w:sz w:val="24"/>
          <w:szCs w:val="24"/>
        </w:rPr>
      </w:pPr>
    </w:p>
    <w:p w14:paraId="3F3D25DD">
      <w:pPr>
        <w:pStyle w:val="3"/>
        <w:rPr>
          <w:rFonts w:hint="eastAsia" w:ascii="宋体" w:hAnsi="宋体" w:eastAsia="宋体" w:cs="宋体"/>
          <w:sz w:val="24"/>
          <w:szCs w:val="24"/>
        </w:rPr>
      </w:pPr>
    </w:p>
    <w:p w14:paraId="544024E2">
      <w:pPr>
        <w:pStyle w:val="5"/>
        <w:keepNext w:val="0"/>
        <w:keepLines w:val="0"/>
        <w:spacing w:before="0" w:after="0" w:line="400" w:lineRule="exact"/>
        <w:rPr>
          <w:rFonts w:hint="eastAsia" w:ascii="宋体" w:hAnsi="宋体" w:eastAsia="宋体" w:cs="宋体"/>
          <w:sz w:val="24"/>
          <w:szCs w:val="24"/>
        </w:rPr>
      </w:pPr>
    </w:p>
    <w:p w14:paraId="3C62F245">
      <w:pPr>
        <w:pStyle w:val="5"/>
        <w:keepNext w:val="0"/>
        <w:keepLines w:val="0"/>
        <w:spacing w:before="0" w:after="0" w:line="400" w:lineRule="exact"/>
        <w:rPr>
          <w:rFonts w:hint="eastAsia" w:ascii="宋体" w:hAnsi="宋体" w:eastAsia="宋体" w:cs="宋体"/>
          <w:sz w:val="24"/>
          <w:szCs w:val="24"/>
        </w:rPr>
      </w:pPr>
    </w:p>
    <w:p w14:paraId="07B84307">
      <w:pPr>
        <w:pStyle w:val="5"/>
        <w:keepNext w:val="0"/>
        <w:keepLines w:val="0"/>
        <w:spacing w:before="0" w:after="0" w:line="400" w:lineRule="exact"/>
        <w:rPr>
          <w:rFonts w:hint="eastAsia" w:ascii="宋体" w:hAnsi="宋体" w:eastAsia="宋体" w:cs="宋体"/>
          <w:sz w:val="24"/>
          <w:szCs w:val="24"/>
        </w:rPr>
      </w:pPr>
    </w:p>
    <w:p w14:paraId="20D9903E">
      <w:pPr>
        <w:pStyle w:val="5"/>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89075878"/>
      <w:bookmarkStart w:id="18" w:name="_Toc183582231"/>
      <w:bookmarkStart w:id="19" w:name="_Toc217446056"/>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217446057"/>
      <w:bookmarkStart w:id="25" w:name="_Toc183582232"/>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锐器盒</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1923"/>
        <w:gridCol w:w="912"/>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23"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1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rPr>
            </w:pPr>
            <w:r>
              <w:rPr>
                <w:rFonts w:hint="eastAsia" w:ascii="宋体" w:hAnsi="宋体" w:cs="宋体"/>
                <w:color w:val="auto"/>
                <w:sz w:val="24"/>
                <w:szCs w:val="24"/>
                <w:lang w:val="en-US" w:eastAsia="zh-CN"/>
              </w:rPr>
              <w:t>1</w:t>
            </w:r>
          </w:p>
        </w:tc>
        <w:tc>
          <w:tcPr>
            <w:tcW w:w="1923"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锐器盒（2L）</w:t>
            </w:r>
          </w:p>
        </w:tc>
        <w:tc>
          <w:tcPr>
            <w:tcW w:w="91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个</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5000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1.42</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7100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w:t>
            </w:r>
          </w:p>
        </w:tc>
        <w:tc>
          <w:tcPr>
            <w:tcW w:w="1923" w:type="dxa"/>
            <w:vAlign w:val="center"/>
          </w:tcPr>
          <w:p w14:paraId="20357CEA">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锐器盒（5L）</w:t>
            </w:r>
          </w:p>
        </w:tc>
        <w:tc>
          <w:tcPr>
            <w:tcW w:w="912" w:type="dxa"/>
            <w:vAlign w:val="center"/>
          </w:tcPr>
          <w:p w14:paraId="549BCD64">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25000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2.85</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71250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rPr>
            </w:pPr>
          </w:p>
        </w:tc>
      </w:tr>
      <w:tr w14:paraId="20CE3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588CE6DD">
            <w:pPr>
              <w:overflowPunct w:val="0"/>
              <w:adjustRightInd w:val="0"/>
              <w:snapToGrid w:val="0"/>
              <w:spacing w:line="580" w:lineRule="exact"/>
              <w:ind w:left="0" w:leftChars="0" w:firstLine="0" w:firstLineChars="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3</w:t>
            </w:r>
          </w:p>
        </w:tc>
        <w:tc>
          <w:tcPr>
            <w:tcW w:w="1923" w:type="dxa"/>
            <w:vAlign w:val="center"/>
          </w:tcPr>
          <w:p w14:paraId="713B3553">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锐器盒（15L）</w:t>
            </w:r>
          </w:p>
        </w:tc>
        <w:tc>
          <w:tcPr>
            <w:tcW w:w="912" w:type="dxa"/>
            <w:vAlign w:val="center"/>
          </w:tcPr>
          <w:p w14:paraId="42B2863E">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个</w:t>
            </w:r>
          </w:p>
        </w:tc>
        <w:tc>
          <w:tcPr>
            <w:tcW w:w="1068" w:type="dxa"/>
            <w:tcBorders>
              <w:top w:val="single" w:color="auto" w:sz="4" w:space="0"/>
              <w:bottom w:val="single" w:color="auto" w:sz="4" w:space="0"/>
            </w:tcBorders>
            <w:vAlign w:val="center"/>
          </w:tcPr>
          <w:p w14:paraId="33CCD82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5000</w:t>
            </w:r>
          </w:p>
        </w:tc>
        <w:tc>
          <w:tcPr>
            <w:tcW w:w="2016" w:type="dxa"/>
            <w:tcBorders>
              <w:top w:val="single" w:color="auto" w:sz="4" w:space="0"/>
              <w:bottom w:val="single" w:color="auto" w:sz="4" w:space="0"/>
            </w:tcBorders>
            <w:vAlign w:val="center"/>
          </w:tcPr>
          <w:p w14:paraId="0B733383">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5.7</w:t>
            </w:r>
          </w:p>
        </w:tc>
        <w:tc>
          <w:tcPr>
            <w:tcW w:w="1538" w:type="dxa"/>
            <w:tcBorders>
              <w:top w:val="single" w:color="auto" w:sz="4" w:space="0"/>
              <w:bottom w:val="single" w:color="auto" w:sz="4" w:space="0"/>
            </w:tcBorders>
            <w:vAlign w:val="center"/>
          </w:tcPr>
          <w:p w14:paraId="19D79E07">
            <w:pPr>
              <w:pStyle w:val="29"/>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28500</w:t>
            </w:r>
          </w:p>
        </w:tc>
        <w:tc>
          <w:tcPr>
            <w:tcW w:w="920" w:type="dxa"/>
            <w:tcBorders>
              <w:top w:val="single" w:color="auto" w:sz="4" w:space="0"/>
              <w:bottom w:val="single" w:color="auto" w:sz="4" w:space="0"/>
            </w:tcBorders>
            <w:vAlign w:val="center"/>
          </w:tcPr>
          <w:p w14:paraId="542CE1C4">
            <w:pPr>
              <w:pStyle w:val="29"/>
              <w:jc w:val="center"/>
              <w:rPr>
                <w:rFonts w:hint="eastAsia" w:asciiTheme="minorEastAsia" w:hAnsiTheme="minorEastAsia" w:eastAsiaTheme="minorEastAsia" w:cstheme="minorEastAsia"/>
                <w:sz w:val="22"/>
                <w:szCs w:val="22"/>
              </w:rPr>
            </w:pPr>
          </w:p>
        </w:tc>
      </w:tr>
    </w:tbl>
    <w:p w14:paraId="2AE89240">
      <w:pPr>
        <w:pStyle w:val="5"/>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p>
    <w:p w14:paraId="189B7373">
      <w:pPr>
        <w:pStyle w:val="6"/>
        <w:spacing w:line="400" w:lineRule="exact"/>
        <w:ind w:firstLine="640"/>
        <w:rPr>
          <w:rFonts w:hint="eastAsia" w:ascii="宋体" w:hAnsi="宋体" w:eastAsia="宋体" w:cs="宋体"/>
          <w:snapToGrid w:val="0"/>
          <w:sz w:val="24"/>
          <w:szCs w:val="24"/>
          <w:lang w:eastAsia="zh-CN"/>
        </w:rPr>
      </w:pPr>
      <w:r>
        <w:rPr>
          <w:rFonts w:hint="eastAsia" w:cs="宋体"/>
          <w:snapToGrid w:val="0"/>
          <w:sz w:val="24"/>
          <w:szCs w:val="24"/>
          <w:lang w:val="en-US" w:eastAsia="zh-CN"/>
        </w:rPr>
        <w:t>1、</w:t>
      </w:r>
      <w:r>
        <w:rPr>
          <w:rFonts w:hint="eastAsia" w:ascii="宋体" w:hAnsi="宋体" w:cs="宋体"/>
          <w:i w:val="0"/>
          <w:color w:val="auto"/>
          <w:sz w:val="24"/>
          <w:szCs w:val="24"/>
          <w:u w:val="none"/>
          <w:lang w:val="en-US" w:eastAsia="zh-CN"/>
        </w:rPr>
        <w:t>锐</w:t>
      </w:r>
      <w:r>
        <w:rPr>
          <w:rFonts w:hint="eastAsia" w:ascii="宋体" w:hAnsi="宋体" w:eastAsia="宋体" w:cs="宋体"/>
          <w:snapToGrid w:val="0"/>
          <w:sz w:val="24"/>
          <w:szCs w:val="24"/>
          <w:lang w:eastAsia="zh-CN"/>
        </w:rPr>
        <w:t>器盒整体为硬制材料制成，密封，以保证</w:t>
      </w:r>
      <w:r>
        <w:rPr>
          <w:rFonts w:hint="eastAsia" w:cs="宋体"/>
          <w:snapToGrid w:val="0"/>
          <w:sz w:val="24"/>
          <w:szCs w:val="24"/>
          <w:lang w:eastAsia="zh-CN"/>
        </w:rPr>
        <w:t>锐器盒</w:t>
      </w:r>
      <w:r>
        <w:rPr>
          <w:rFonts w:hint="eastAsia" w:ascii="宋体" w:hAnsi="宋体" w:eastAsia="宋体" w:cs="宋体"/>
          <w:snapToGrid w:val="0"/>
          <w:sz w:val="24"/>
          <w:szCs w:val="24"/>
          <w:lang w:eastAsia="zh-CN"/>
        </w:rPr>
        <w:t>在正常使用的情况下，盒内盛装的锐利器具不撒漏，</w:t>
      </w:r>
      <w:r>
        <w:rPr>
          <w:rFonts w:hint="eastAsia" w:cs="宋体"/>
          <w:snapToGrid w:val="0"/>
          <w:sz w:val="24"/>
          <w:szCs w:val="24"/>
          <w:lang w:eastAsia="zh-CN"/>
        </w:rPr>
        <w:t>锐器盒</w:t>
      </w:r>
      <w:r>
        <w:rPr>
          <w:rFonts w:hint="eastAsia" w:ascii="宋体" w:hAnsi="宋体" w:eastAsia="宋体" w:cs="宋体"/>
          <w:snapToGrid w:val="0"/>
          <w:sz w:val="24"/>
          <w:szCs w:val="24"/>
          <w:lang w:eastAsia="zh-CN"/>
        </w:rPr>
        <w:t xml:space="preserve">一旦被封口，则无法在不破坏的情况下被再次打开； </w:t>
      </w:r>
    </w:p>
    <w:p w14:paraId="54929FE7">
      <w:pPr>
        <w:pStyle w:val="6"/>
        <w:spacing w:line="400" w:lineRule="exact"/>
        <w:ind w:firstLine="640"/>
        <w:rPr>
          <w:rFonts w:hint="eastAsia" w:ascii="宋体" w:hAnsi="宋体" w:eastAsia="宋体" w:cs="宋体"/>
          <w:snapToGrid w:val="0"/>
          <w:sz w:val="24"/>
          <w:szCs w:val="24"/>
          <w:lang w:eastAsia="zh-CN"/>
        </w:rPr>
      </w:pPr>
      <w:r>
        <w:rPr>
          <w:rFonts w:hint="eastAsia" w:cs="宋体"/>
          <w:snapToGrid w:val="0"/>
          <w:sz w:val="24"/>
          <w:szCs w:val="24"/>
          <w:lang w:val="en-US" w:eastAsia="zh-CN"/>
        </w:rPr>
        <w:t>2、</w:t>
      </w:r>
      <w:r>
        <w:rPr>
          <w:rFonts w:hint="eastAsia" w:ascii="宋体" w:hAnsi="宋体" w:cs="宋体"/>
          <w:i w:val="0"/>
          <w:color w:val="auto"/>
          <w:sz w:val="24"/>
          <w:szCs w:val="24"/>
          <w:u w:val="none"/>
          <w:lang w:val="en-US" w:eastAsia="zh-CN"/>
        </w:rPr>
        <w:t>锐</w:t>
      </w:r>
      <w:r>
        <w:rPr>
          <w:rFonts w:hint="eastAsia" w:ascii="宋体" w:hAnsi="宋体" w:eastAsia="宋体" w:cs="宋体"/>
          <w:snapToGrid w:val="0"/>
          <w:sz w:val="24"/>
          <w:szCs w:val="24"/>
          <w:lang w:eastAsia="zh-CN"/>
        </w:rPr>
        <w:t>器盒能防刺穿，其盛装的注射器针头、破碎玻璃片等锐利器具不能刺穿</w:t>
      </w:r>
      <w:r>
        <w:rPr>
          <w:rFonts w:hint="eastAsia" w:cs="宋体"/>
          <w:snapToGrid w:val="0"/>
          <w:sz w:val="24"/>
          <w:szCs w:val="24"/>
          <w:lang w:eastAsia="zh-CN"/>
        </w:rPr>
        <w:t>锐器盒</w:t>
      </w:r>
      <w:r>
        <w:rPr>
          <w:rFonts w:hint="eastAsia" w:ascii="宋体" w:hAnsi="宋体" w:eastAsia="宋体" w:cs="宋体"/>
          <w:snapToGrid w:val="0"/>
          <w:sz w:val="24"/>
          <w:szCs w:val="24"/>
          <w:lang w:eastAsia="zh-CN"/>
        </w:rPr>
        <w:t xml:space="preserve">； </w:t>
      </w:r>
    </w:p>
    <w:p w14:paraId="037D2C74">
      <w:pPr>
        <w:pStyle w:val="6"/>
        <w:spacing w:line="400" w:lineRule="exact"/>
        <w:ind w:firstLine="640"/>
        <w:rPr>
          <w:rFonts w:hint="eastAsia" w:ascii="宋体" w:hAnsi="宋体" w:eastAsia="宋体" w:cs="宋体"/>
          <w:snapToGrid w:val="0"/>
          <w:sz w:val="24"/>
          <w:szCs w:val="24"/>
          <w:lang w:eastAsia="zh-CN"/>
        </w:rPr>
      </w:pPr>
      <w:r>
        <w:rPr>
          <w:rFonts w:hint="eastAsia" w:ascii="宋体" w:hAnsi="宋体" w:eastAsia="宋体" w:cs="宋体"/>
          <w:snapToGrid w:val="0"/>
          <w:sz w:val="24"/>
          <w:szCs w:val="24"/>
          <w:lang w:val="en-US" w:eastAsia="zh-CN"/>
        </w:rPr>
        <w:t>3</w:t>
      </w:r>
      <w:r>
        <w:rPr>
          <w:rFonts w:hint="eastAsia" w:cs="宋体"/>
          <w:snapToGrid w:val="0"/>
          <w:sz w:val="24"/>
          <w:szCs w:val="24"/>
          <w:lang w:val="en-US" w:eastAsia="zh-CN"/>
        </w:rPr>
        <w:t>、</w:t>
      </w:r>
      <w:r>
        <w:rPr>
          <w:rFonts w:hint="eastAsia" w:ascii="宋体" w:hAnsi="宋体" w:eastAsia="宋体" w:cs="宋体"/>
          <w:snapToGrid w:val="0"/>
          <w:sz w:val="24"/>
          <w:szCs w:val="24"/>
          <w:lang w:eastAsia="zh-CN"/>
        </w:rPr>
        <w:t>满盛装量的</w:t>
      </w:r>
      <w:r>
        <w:rPr>
          <w:rFonts w:hint="eastAsia" w:cs="宋体"/>
          <w:snapToGrid w:val="0"/>
          <w:sz w:val="24"/>
          <w:szCs w:val="24"/>
          <w:lang w:eastAsia="zh-CN"/>
        </w:rPr>
        <w:t>锐器盒</w:t>
      </w:r>
      <w:r>
        <w:rPr>
          <w:rFonts w:hint="eastAsia" w:ascii="宋体" w:hAnsi="宋体" w:eastAsia="宋体" w:cs="宋体"/>
          <w:snapToGrid w:val="0"/>
          <w:sz w:val="24"/>
          <w:szCs w:val="24"/>
          <w:lang w:eastAsia="zh-CN"/>
        </w:rPr>
        <w:t>从1.5m高处垂直跌落至水泥地面，连续3次，</w:t>
      </w:r>
      <w:r>
        <w:rPr>
          <w:rFonts w:hint="eastAsia" w:cs="宋体"/>
          <w:snapToGrid w:val="0"/>
          <w:sz w:val="24"/>
          <w:szCs w:val="24"/>
          <w:lang w:eastAsia="zh-CN"/>
        </w:rPr>
        <w:t>锐器盒</w:t>
      </w:r>
      <w:r>
        <w:rPr>
          <w:rFonts w:hint="eastAsia" w:ascii="宋体" w:hAnsi="宋体" w:eastAsia="宋体" w:cs="宋体"/>
          <w:snapToGrid w:val="0"/>
          <w:sz w:val="24"/>
          <w:szCs w:val="24"/>
          <w:lang w:eastAsia="zh-CN"/>
        </w:rPr>
        <w:t xml:space="preserve">不会出现破裂、被刺穿等情况； </w:t>
      </w:r>
    </w:p>
    <w:p w14:paraId="64BB4F31">
      <w:pPr>
        <w:pStyle w:val="6"/>
        <w:spacing w:line="400" w:lineRule="exact"/>
        <w:ind w:firstLine="640"/>
        <w:rPr>
          <w:rFonts w:hint="eastAsia" w:ascii="宋体" w:hAnsi="宋体" w:eastAsia="宋体" w:cs="宋体"/>
          <w:snapToGrid w:val="0"/>
          <w:sz w:val="24"/>
          <w:szCs w:val="24"/>
          <w:lang w:eastAsia="zh-CN"/>
        </w:rPr>
      </w:pPr>
      <w:r>
        <w:rPr>
          <w:rFonts w:hint="eastAsia" w:ascii="宋体" w:hAnsi="宋体" w:eastAsia="宋体" w:cs="宋体"/>
          <w:snapToGrid w:val="0"/>
          <w:sz w:val="24"/>
          <w:szCs w:val="24"/>
          <w:lang w:val="en-US" w:eastAsia="zh-CN"/>
        </w:rPr>
        <w:t>4</w:t>
      </w:r>
      <w:r>
        <w:rPr>
          <w:rFonts w:hint="eastAsia" w:cs="宋体"/>
          <w:snapToGrid w:val="0"/>
          <w:sz w:val="24"/>
          <w:szCs w:val="24"/>
          <w:lang w:val="en-US" w:eastAsia="zh-CN"/>
        </w:rPr>
        <w:t>、</w:t>
      </w:r>
      <w:r>
        <w:rPr>
          <w:rFonts w:hint="eastAsia" w:ascii="宋体" w:hAnsi="宋体" w:cs="宋体"/>
          <w:i w:val="0"/>
          <w:color w:val="auto"/>
          <w:sz w:val="24"/>
          <w:szCs w:val="24"/>
          <w:u w:val="none"/>
          <w:lang w:val="en-US" w:eastAsia="zh-CN"/>
        </w:rPr>
        <w:t>锐</w:t>
      </w:r>
      <w:r>
        <w:rPr>
          <w:rFonts w:hint="eastAsia" w:ascii="宋体" w:hAnsi="宋体" w:eastAsia="宋体" w:cs="宋体"/>
          <w:snapToGrid w:val="0"/>
          <w:sz w:val="24"/>
          <w:szCs w:val="24"/>
          <w:lang w:eastAsia="zh-CN"/>
        </w:rPr>
        <w:t xml:space="preserve">器盒易于焚烧，不得使用聚氯乙烯（PVC）塑料作为制造原材料； </w:t>
      </w:r>
    </w:p>
    <w:p w14:paraId="128A08D4">
      <w:pPr>
        <w:pStyle w:val="6"/>
        <w:spacing w:line="400" w:lineRule="exact"/>
        <w:ind w:firstLine="640"/>
        <w:rPr>
          <w:rFonts w:hint="eastAsia" w:cs="宋体"/>
          <w:b/>
          <w:bCs/>
          <w:color w:val="auto"/>
          <w:sz w:val="24"/>
          <w:szCs w:val="24"/>
          <w:lang w:val="en-US" w:eastAsia="zh-CN"/>
        </w:rPr>
      </w:pPr>
      <w:r>
        <w:rPr>
          <w:rFonts w:hint="eastAsia" w:ascii="宋体" w:hAnsi="宋体" w:eastAsia="宋体" w:cs="宋体"/>
          <w:snapToGrid w:val="0"/>
          <w:sz w:val="24"/>
          <w:szCs w:val="24"/>
          <w:lang w:val="en-US" w:eastAsia="zh-CN"/>
        </w:rPr>
        <w:t>5</w:t>
      </w:r>
      <w:r>
        <w:rPr>
          <w:rFonts w:hint="eastAsia" w:cs="宋体"/>
          <w:snapToGrid w:val="0"/>
          <w:sz w:val="24"/>
          <w:szCs w:val="24"/>
          <w:lang w:val="en-US" w:eastAsia="zh-CN"/>
        </w:rPr>
        <w:t>、</w:t>
      </w:r>
      <w:r>
        <w:rPr>
          <w:rFonts w:hint="eastAsia" w:ascii="宋体" w:hAnsi="宋体" w:cs="宋体"/>
          <w:i w:val="0"/>
          <w:color w:val="auto"/>
          <w:sz w:val="24"/>
          <w:szCs w:val="24"/>
          <w:u w:val="none"/>
          <w:lang w:val="en-US" w:eastAsia="zh-CN"/>
        </w:rPr>
        <w:t>锐</w:t>
      </w:r>
      <w:r>
        <w:rPr>
          <w:rFonts w:hint="eastAsia" w:ascii="宋体" w:hAnsi="宋体" w:eastAsia="宋体" w:cs="宋体"/>
          <w:snapToGrid w:val="0"/>
          <w:sz w:val="24"/>
          <w:szCs w:val="24"/>
          <w:lang w:eastAsia="zh-CN"/>
        </w:rPr>
        <w:t>器盒整体颜色为黄色，形状为圆柱形，在盒体侧面注明“损伤性废物”及医疗废物警示标识</w:t>
      </w:r>
      <w:r>
        <w:rPr>
          <w:rFonts w:hint="eastAsia"/>
          <w:b w:val="0"/>
          <w:bCs w:val="0"/>
          <w:color w:val="FF0000"/>
          <w:lang w:eastAsia="zh-CN"/>
        </w:rPr>
        <w:t xml:space="preserve"> </w:t>
      </w:r>
    </w:p>
    <w:p w14:paraId="5938C7DC">
      <w:pPr>
        <w:pStyle w:val="6"/>
        <w:numPr>
          <w:ilvl w:val="0"/>
          <w:numId w:val="0"/>
        </w:numPr>
        <w:spacing w:line="400" w:lineRule="exact"/>
        <w:ind w:firstLine="482" w:firstLineChars="200"/>
        <w:rPr>
          <w:rFonts w:hint="eastAsia" w:cs="宋体"/>
          <w:b/>
          <w:bCs/>
          <w:color w:val="auto"/>
          <w:sz w:val="24"/>
          <w:szCs w:val="24"/>
          <w:lang w:val="en-US" w:eastAsia="zh-CN"/>
        </w:rPr>
      </w:pPr>
      <w:r>
        <w:rPr>
          <w:rFonts w:hint="eastAsia" w:cs="宋体"/>
          <w:b/>
          <w:bCs/>
          <w:color w:val="auto"/>
          <w:sz w:val="24"/>
          <w:szCs w:val="24"/>
          <w:lang w:val="en-US" w:eastAsia="zh-CN"/>
        </w:rPr>
        <w:t>（二）服务要求</w:t>
      </w:r>
    </w:p>
    <w:p w14:paraId="1257704D">
      <w:pPr>
        <w:pStyle w:val="6"/>
        <w:spacing w:line="400" w:lineRule="exact"/>
        <w:ind w:firstLine="640"/>
        <w:rPr>
          <w:rFonts w:hint="default" w:cs="宋体"/>
          <w:color w:val="auto"/>
          <w:sz w:val="24"/>
          <w:szCs w:val="24"/>
          <w:lang w:val="en-US" w:eastAsia="zh-CN"/>
        </w:rPr>
      </w:pPr>
      <w:r>
        <w:rPr>
          <w:rFonts w:hint="eastAsia" w:hAnsi="宋体" w:cs="宋体"/>
          <w:kern w:val="0"/>
          <w:sz w:val="24"/>
        </w:rPr>
        <w:t>采购标的</w:t>
      </w:r>
      <w:r>
        <w:rPr>
          <w:rFonts w:hint="eastAsia" w:ascii="宋体" w:hAnsi="宋体" w:eastAsia="宋体" w:cs="宋体"/>
          <w:snapToGrid w:val="0"/>
          <w:sz w:val="24"/>
          <w:szCs w:val="24"/>
        </w:rPr>
        <w:t>应是全新</w:t>
      </w:r>
      <w:r>
        <w:rPr>
          <w:rFonts w:hint="eastAsia" w:ascii="宋体" w:hAnsi="宋体" w:eastAsia="宋体" w:cs="宋体"/>
          <w:snapToGrid w:val="0"/>
          <w:sz w:val="24"/>
          <w:szCs w:val="24"/>
          <w:lang w:eastAsia="zh-CN"/>
        </w:rPr>
        <w:t>、无破损</w:t>
      </w:r>
      <w:r>
        <w:rPr>
          <w:rFonts w:hint="eastAsia" w:ascii="宋体" w:hAnsi="宋体" w:eastAsia="宋体" w:cs="宋体"/>
          <w:snapToGrid w:val="0"/>
          <w:sz w:val="24"/>
          <w:szCs w:val="24"/>
        </w:rPr>
        <w:t>、标识清楚、符合产品质量标准要求的合格产品</w:t>
      </w:r>
      <w:r>
        <w:rPr>
          <w:rFonts w:hint="eastAsia" w:cs="宋体"/>
          <w:color w:val="auto"/>
          <w:sz w:val="24"/>
          <w:szCs w:val="24"/>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（三）采购合同内容条款要求：</w:t>
      </w:r>
    </w:p>
    <w:p w14:paraId="2568E245">
      <w:pPr>
        <w:pStyle w:val="6"/>
        <w:rPr>
          <w:rFonts w:hint="eastAsia" w:cs="宋体"/>
          <w:color w:val="auto"/>
          <w:sz w:val="24"/>
          <w:szCs w:val="24"/>
          <w:lang w:val="en-US" w:eastAsia="zh-CN"/>
        </w:rPr>
      </w:pPr>
      <w:r>
        <w:rPr>
          <w:rFonts w:hint="eastAsia" w:cs="宋体"/>
          <w:color w:val="auto"/>
          <w:sz w:val="24"/>
          <w:szCs w:val="24"/>
          <w:lang w:val="en-US" w:eastAsia="zh-CN"/>
        </w:rPr>
        <w:t>1、交货时间：合同签订后20个工作</w:t>
      </w:r>
      <w:r>
        <w:rPr>
          <w:rFonts w:hint="eastAsia" w:ascii="宋体" w:hAnsi="宋体" w:eastAsia="宋体" w:cs="宋体"/>
          <w:color w:val="auto"/>
          <w:sz w:val="24"/>
          <w:szCs w:val="24"/>
          <w:lang w:val="en-US" w:eastAsia="zh-CN"/>
        </w:rPr>
        <w:t>日内</w:t>
      </w:r>
      <w:r>
        <w:rPr>
          <w:rFonts w:hint="eastAsia" w:cs="宋体"/>
          <w:color w:val="auto"/>
          <w:sz w:val="24"/>
          <w:szCs w:val="24"/>
          <w:lang w:val="en-US" w:eastAsia="zh-CN"/>
        </w:rPr>
        <w:t>。</w:t>
      </w:r>
    </w:p>
    <w:p w14:paraId="45DEDACB">
      <w:pPr>
        <w:pStyle w:val="6"/>
        <w:rPr>
          <w:rFonts w:hint="eastAsia"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指定位置。</w:t>
      </w:r>
    </w:p>
    <w:p w14:paraId="70D9DAD9">
      <w:pPr>
        <w:pStyle w:val="6"/>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287275F9">
      <w:pPr>
        <w:pStyle w:val="6"/>
        <w:rPr>
          <w:rFonts w:hint="default" w:ascii="宋体" w:hAnsi="宋体" w:cs="宋体"/>
          <w:color w:val="auto"/>
          <w:sz w:val="24"/>
          <w:szCs w:val="24"/>
          <w:lang w:val="en-US" w:eastAsia="zh-CN"/>
        </w:rPr>
      </w:pPr>
      <w:r>
        <w:rPr>
          <w:rFonts w:hint="eastAsia" w:cs="宋体"/>
          <w:color w:val="auto"/>
          <w:sz w:val="24"/>
          <w:szCs w:val="24"/>
          <w:lang w:val="en-US" w:eastAsia="zh-CN"/>
        </w:rPr>
        <w:t>5、付款方式：货物配送完成并</w:t>
      </w:r>
      <w:r>
        <w:rPr>
          <w:rFonts w:hint="eastAsia" w:ascii="宋体" w:hAnsi="宋体" w:cs="宋体"/>
          <w:color w:val="auto"/>
          <w:sz w:val="24"/>
          <w:szCs w:val="24"/>
          <w:lang w:val="en-US" w:eastAsia="zh-CN"/>
        </w:rPr>
        <w:t>验收合格</w:t>
      </w:r>
      <w:r>
        <w:rPr>
          <w:rFonts w:hint="eastAsia" w:cs="宋体"/>
          <w:color w:val="auto"/>
          <w:sz w:val="24"/>
          <w:szCs w:val="24"/>
          <w:lang w:val="en-US" w:eastAsia="zh-CN"/>
        </w:rPr>
        <w:t>后</w:t>
      </w:r>
      <w:r>
        <w:rPr>
          <w:rFonts w:hint="eastAsia" w:ascii="宋体" w:hAnsi="宋体" w:cs="宋体"/>
          <w:color w:val="auto"/>
          <w:sz w:val="24"/>
          <w:szCs w:val="24"/>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1、采购价为到货含税价，并包括运输、装卸、安装、调试、操作培训、人工、差旅等一切费用。</w:t>
      </w:r>
    </w:p>
    <w:p w14:paraId="77C39C15">
      <w:pPr>
        <w:tabs>
          <w:tab w:val="left" w:pos="7665"/>
        </w:tabs>
        <w:spacing w:line="400" w:lineRule="exact"/>
        <w:ind w:firstLine="482"/>
        <w:jc w:val="both"/>
        <w:outlineLvl w:val="0"/>
        <w:rPr>
          <w:rFonts w:hint="eastAsia" w:cs="宋体"/>
          <w:color w:val="auto"/>
          <w:sz w:val="24"/>
          <w:szCs w:val="24"/>
          <w:lang w:val="en-US" w:eastAsia="zh-CN"/>
        </w:rPr>
      </w:pPr>
      <w:r>
        <w:rPr>
          <w:rFonts w:hint="eastAsia" w:ascii="宋体" w:hAnsi="宋体" w:eastAsia="宋体" w:cs="宋体"/>
          <w:color w:val="auto"/>
          <w:sz w:val="24"/>
          <w:szCs w:val="24"/>
          <w:lang w:val="en-US" w:eastAsia="zh-CN"/>
        </w:rPr>
        <w:t>2、2025年（含）以后生产的产品</w:t>
      </w:r>
      <w:r>
        <w:rPr>
          <w:rFonts w:hint="eastAsia" w:cs="宋体"/>
          <w:color w:val="auto"/>
          <w:sz w:val="24"/>
          <w:szCs w:val="24"/>
          <w:lang w:val="en-US" w:eastAsia="zh-CN"/>
        </w:rPr>
        <w:t>。</w:t>
      </w:r>
    </w:p>
    <w:p w14:paraId="6D3E26AC">
      <w:pPr>
        <w:pStyle w:val="6"/>
        <w:spacing w:line="400" w:lineRule="exact"/>
        <w:ind w:left="0" w:leftChars="0"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cs="宋体"/>
          <w:color w:val="auto"/>
          <w:sz w:val="24"/>
          <w:szCs w:val="24"/>
          <w:lang w:val="en-US" w:eastAsia="zh-CN"/>
        </w:rPr>
        <w:t>中标人承担项目实施过程中的一切安全责任和安全费用</w:t>
      </w:r>
      <w:r>
        <w:rPr>
          <w:rFonts w:hint="eastAsia" w:ascii="宋体" w:hAnsi="宋体" w:eastAsia="宋体" w:cs="宋体"/>
          <w:color w:val="auto"/>
          <w:sz w:val="24"/>
          <w:szCs w:val="24"/>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lang w:val="en-US" w:eastAsia="zh-CN"/>
        </w:rPr>
      </w:pPr>
    </w:p>
    <w:p w14:paraId="32C19FF9">
      <w:pPr>
        <w:pStyle w:val="2"/>
        <w:rPr>
          <w:rFonts w:hint="eastAsia" w:ascii="黑体" w:hAnsi="宋体" w:eastAsia="黑体"/>
          <w:b/>
          <w:bCs/>
          <w:sz w:val="32"/>
          <w:szCs w:val="32"/>
        </w:rPr>
      </w:pPr>
    </w:p>
    <w:p w14:paraId="50FFE043">
      <w:pPr>
        <w:pStyle w:val="3"/>
        <w:rPr>
          <w:rFonts w:hint="eastAsia" w:ascii="黑体" w:hAnsi="宋体" w:eastAsia="黑体"/>
          <w:b/>
          <w:bCs/>
          <w:sz w:val="32"/>
          <w:szCs w:val="32"/>
        </w:rPr>
      </w:pPr>
    </w:p>
    <w:p w14:paraId="31837264">
      <w:pPr>
        <w:pStyle w:val="3"/>
        <w:rPr>
          <w:rFonts w:hint="eastAsia" w:ascii="黑体" w:hAnsi="宋体" w:eastAsia="黑体"/>
          <w:b/>
          <w:bCs/>
          <w:sz w:val="32"/>
          <w:szCs w:val="32"/>
        </w:rPr>
      </w:pPr>
    </w:p>
    <w:p w14:paraId="3F86736A">
      <w:pPr>
        <w:pStyle w:val="3"/>
        <w:rPr>
          <w:rFonts w:hint="eastAsia" w:ascii="黑体" w:hAnsi="宋体" w:eastAsia="黑体"/>
          <w:b/>
          <w:bCs/>
          <w:sz w:val="32"/>
          <w:szCs w:val="32"/>
        </w:rPr>
      </w:pPr>
    </w:p>
    <w:p w14:paraId="470ADC95">
      <w:pPr>
        <w:pStyle w:val="3"/>
        <w:rPr>
          <w:rFonts w:hint="eastAsia" w:ascii="黑体" w:hAnsi="宋体" w:eastAsia="黑体"/>
          <w:b/>
          <w:bCs/>
          <w:sz w:val="32"/>
          <w:szCs w:val="32"/>
        </w:rPr>
      </w:pPr>
    </w:p>
    <w:p w14:paraId="5604175E">
      <w:pPr>
        <w:pStyle w:val="3"/>
        <w:rPr>
          <w:rFonts w:hint="eastAsia" w:ascii="黑体" w:hAnsi="宋体" w:eastAsia="黑体"/>
          <w:b/>
          <w:bCs/>
          <w:sz w:val="32"/>
          <w:szCs w:val="32"/>
        </w:rPr>
      </w:pPr>
    </w:p>
    <w:p w14:paraId="6EA38581">
      <w:pPr>
        <w:pStyle w:val="3"/>
        <w:rPr>
          <w:rFonts w:hint="eastAsia" w:ascii="黑体" w:hAnsi="宋体" w:eastAsia="黑体"/>
          <w:b/>
          <w:bCs/>
          <w:sz w:val="32"/>
          <w:szCs w:val="32"/>
        </w:rPr>
      </w:pPr>
    </w:p>
    <w:p w14:paraId="5DB19A2C">
      <w:pPr>
        <w:pStyle w:val="3"/>
        <w:rPr>
          <w:rFonts w:hint="eastAsia" w:ascii="黑体" w:hAnsi="宋体" w:eastAsia="黑体"/>
          <w:b/>
          <w:bCs/>
          <w:sz w:val="32"/>
          <w:szCs w:val="32"/>
        </w:rPr>
      </w:pPr>
    </w:p>
    <w:p w14:paraId="37598E9C">
      <w:pPr>
        <w:pStyle w:val="3"/>
        <w:rPr>
          <w:rFonts w:hint="eastAsia" w:ascii="黑体" w:hAnsi="宋体" w:eastAsia="黑体"/>
          <w:b/>
          <w:bCs/>
          <w:sz w:val="32"/>
          <w:szCs w:val="32"/>
        </w:rPr>
      </w:pPr>
    </w:p>
    <w:p w14:paraId="5CAFE8D3">
      <w:pPr>
        <w:pStyle w:val="3"/>
        <w:rPr>
          <w:rFonts w:hint="eastAsia" w:ascii="黑体" w:hAnsi="宋体" w:eastAsia="黑体"/>
          <w:b/>
          <w:bCs/>
          <w:sz w:val="32"/>
          <w:szCs w:val="32"/>
        </w:rPr>
      </w:pPr>
    </w:p>
    <w:p w14:paraId="2CAA2AE0">
      <w:pPr>
        <w:pStyle w:val="3"/>
        <w:rPr>
          <w:rFonts w:hint="eastAsia" w:ascii="黑体" w:hAnsi="宋体" w:eastAsia="黑体"/>
          <w:b/>
          <w:bCs/>
          <w:sz w:val="32"/>
          <w:szCs w:val="32"/>
        </w:rPr>
      </w:pPr>
    </w:p>
    <w:p w14:paraId="79E7ED50">
      <w:pPr>
        <w:pStyle w:val="3"/>
        <w:rPr>
          <w:rFonts w:hint="eastAsia" w:ascii="黑体" w:hAnsi="宋体" w:eastAsia="黑体"/>
          <w:b/>
          <w:bCs/>
          <w:sz w:val="32"/>
          <w:szCs w:val="32"/>
        </w:rPr>
      </w:pPr>
    </w:p>
    <w:p w14:paraId="4B0FDC89">
      <w:pPr>
        <w:pStyle w:val="3"/>
        <w:rPr>
          <w:rFonts w:hint="eastAsia" w:ascii="黑体" w:hAnsi="宋体" w:eastAsia="黑体"/>
          <w:b/>
          <w:bCs/>
          <w:sz w:val="32"/>
          <w:szCs w:val="32"/>
        </w:rPr>
      </w:pPr>
    </w:p>
    <w:p w14:paraId="65F2D6F6">
      <w:pPr>
        <w:pStyle w:val="3"/>
        <w:rPr>
          <w:rFonts w:hint="eastAsia" w:ascii="黑体" w:hAnsi="宋体" w:eastAsia="黑体"/>
          <w:b/>
          <w:bCs/>
          <w:sz w:val="32"/>
          <w:szCs w:val="32"/>
        </w:rPr>
      </w:pPr>
    </w:p>
    <w:p w14:paraId="1AA43669">
      <w:pPr>
        <w:pStyle w:val="3"/>
        <w:rPr>
          <w:rFonts w:hint="eastAsia" w:ascii="黑体" w:hAnsi="宋体" w:eastAsia="黑体"/>
          <w:b/>
          <w:bCs/>
          <w:sz w:val="32"/>
          <w:szCs w:val="32"/>
        </w:rPr>
      </w:pPr>
    </w:p>
    <w:p w14:paraId="702FBFD5">
      <w:pPr>
        <w:pStyle w:val="3"/>
        <w:rPr>
          <w:rFonts w:hint="eastAsia" w:ascii="黑体" w:hAnsi="宋体" w:eastAsia="黑体"/>
          <w:b/>
          <w:bCs/>
          <w:sz w:val="32"/>
          <w:szCs w:val="32"/>
        </w:rPr>
      </w:pPr>
    </w:p>
    <w:p w14:paraId="7DF76501">
      <w:pPr>
        <w:pStyle w:val="3"/>
        <w:rPr>
          <w:rFonts w:hint="eastAsia" w:ascii="黑体" w:hAnsi="宋体" w:eastAsia="黑体"/>
          <w:b/>
          <w:bCs/>
          <w:sz w:val="32"/>
          <w:szCs w:val="32"/>
        </w:rPr>
      </w:pPr>
    </w:p>
    <w:p w14:paraId="0AB8EEAA">
      <w:pPr>
        <w:pStyle w:val="3"/>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3"/>
        <w:rPr>
          <w:rFonts w:hint="eastAsia"/>
          <w:b/>
          <w:sz w:val="32"/>
          <w:szCs w:val="32"/>
        </w:rPr>
      </w:pPr>
    </w:p>
    <w:p w14:paraId="3E2BAE9F">
      <w:pPr>
        <w:pStyle w:val="3"/>
        <w:rPr>
          <w:rFonts w:hint="eastAsia"/>
          <w:b/>
          <w:sz w:val="32"/>
          <w:szCs w:val="32"/>
        </w:rPr>
      </w:pPr>
    </w:p>
    <w:p w14:paraId="31CC1F9B">
      <w:pPr>
        <w:pStyle w:val="3"/>
        <w:rPr>
          <w:rFonts w:hint="eastAsia"/>
          <w:b/>
          <w:sz w:val="32"/>
          <w:szCs w:val="32"/>
        </w:rPr>
      </w:pPr>
    </w:p>
    <w:p w14:paraId="66F4DD6C">
      <w:pPr>
        <w:pStyle w:val="3"/>
        <w:rPr>
          <w:rFonts w:hint="eastAsia"/>
          <w:b/>
          <w:sz w:val="32"/>
          <w:szCs w:val="32"/>
        </w:rPr>
      </w:pPr>
    </w:p>
    <w:p w14:paraId="1F7476C0">
      <w:pPr>
        <w:pStyle w:val="3"/>
        <w:rPr>
          <w:rFonts w:hint="eastAsia"/>
          <w:b/>
          <w:sz w:val="32"/>
          <w:szCs w:val="32"/>
        </w:rPr>
      </w:pPr>
    </w:p>
    <w:p w14:paraId="07E03867">
      <w:pPr>
        <w:jc w:val="center"/>
        <w:rPr>
          <w:rFonts w:hint="eastAsia"/>
          <w:b/>
          <w:sz w:val="32"/>
          <w:szCs w:val="32"/>
        </w:rPr>
      </w:pPr>
    </w:p>
    <w:p w14:paraId="42FD94D5">
      <w:pPr>
        <w:pStyle w:val="5"/>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3"/>
        <w:rPr>
          <w:rFonts w:hint="eastAsia"/>
          <w:b/>
          <w:sz w:val="32"/>
          <w:szCs w:val="32"/>
        </w:rPr>
      </w:pPr>
    </w:p>
    <w:p w14:paraId="4573D810">
      <w:pPr>
        <w:pStyle w:val="3"/>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2"/>
        <w:rPr>
          <w:rFonts w:hint="eastAsia" w:ascii="宋体" w:hAnsi="宋体"/>
          <w:b/>
          <w:bCs/>
          <w:sz w:val="32"/>
          <w:szCs w:val="32"/>
          <w:lang w:eastAsia="zh-CN"/>
        </w:rPr>
      </w:pPr>
    </w:p>
    <w:p w14:paraId="69E200E7">
      <w:pPr>
        <w:pStyle w:val="3"/>
        <w:rPr>
          <w:rFonts w:hint="eastAsia"/>
          <w:lang w:eastAsia="zh-CN"/>
        </w:rPr>
      </w:pPr>
    </w:p>
    <w:p w14:paraId="03EF6F1C">
      <w:pPr>
        <w:pStyle w:val="3"/>
        <w:rPr>
          <w:rFonts w:hint="eastAsia"/>
          <w:lang w:eastAsia="zh-CN"/>
        </w:rPr>
      </w:pPr>
    </w:p>
    <w:p w14:paraId="43E5E025">
      <w:pPr>
        <w:jc w:val="center"/>
        <w:rPr>
          <w:rFonts w:hint="eastAsia" w:ascii="宋体" w:hAnsi="宋体"/>
          <w:b/>
          <w:bCs/>
          <w:sz w:val="32"/>
          <w:szCs w:val="32"/>
          <w:lang w:eastAsia="zh-CN"/>
        </w:rPr>
      </w:pPr>
    </w:p>
    <w:p w14:paraId="0853C5FC">
      <w:pPr>
        <w:pStyle w:val="2"/>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3"/>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3"/>
        <w:rPr>
          <w:sz w:val="24"/>
          <w:highlight w:val="white"/>
        </w:rPr>
      </w:pPr>
    </w:p>
    <w:p w14:paraId="4C0E06A2">
      <w:pPr>
        <w:pStyle w:val="3"/>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3"/>
        <w:rPr>
          <w:rFonts w:hint="eastAsia"/>
          <w:sz w:val="24"/>
          <w:highlight w:val="white"/>
        </w:rPr>
      </w:pPr>
    </w:p>
    <w:p w14:paraId="1C83667E">
      <w:pPr>
        <w:pStyle w:val="3"/>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3"/>
        <w:rPr>
          <w:rFonts w:hint="eastAsia"/>
          <w:sz w:val="24"/>
          <w:highlight w:val="white"/>
        </w:rPr>
      </w:pPr>
    </w:p>
    <w:p w14:paraId="632478B8">
      <w:pPr>
        <w:pStyle w:val="3"/>
        <w:rPr>
          <w:rFonts w:hint="eastAsia"/>
          <w:sz w:val="24"/>
          <w:highlight w:val="white"/>
        </w:rPr>
      </w:pPr>
    </w:p>
    <w:p w14:paraId="0483F5B2">
      <w:pPr>
        <w:pStyle w:val="3"/>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3"/>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3"/>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3"/>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3"/>
        <w:rPr>
          <w:rFonts w:hint="eastAsia"/>
          <w:sz w:val="24"/>
          <w:highlight w:val="white"/>
        </w:rPr>
      </w:pPr>
    </w:p>
    <w:bookmarkEnd w:id="23"/>
    <w:bookmarkEnd w:id="24"/>
    <w:bookmarkEnd w:id="25"/>
    <w:bookmarkEnd w:id="30"/>
    <w:bookmarkEnd w:id="31"/>
    <w:p w14:paraId="6FFD20EA">
      <w:pPr>
        <w:pStyle w:val="4"/>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5"/>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6"/>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0F1EFD6D"/>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AA2EBC"/>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4433268"/>
    <w:rsid w:val="750E512E"/>
    <w:rsid w:val="75AC5B7C"/>
    <w:rsid w:val="75F4747B"/>
    <w:rsid w:val="76427C85"/>
    <w:rsid w:val="770022CF"/>
    <w:rsid w:val="772228AB"/>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5182</Words>
  <Characters>5453</Characters>
  <Lines>0</Lines>
  <Paragraphs>0</Paragraphs>
  <TotalTime>1</TotalTime>
  <ScaleCrop>false</ScaleCrop>
  <LinksUpToDate>false</LinksUpToDate>
  <CharactersWithSpaces>5510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2026-01-07T01:04:44Z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eyJoZGlkIjoiYWRhNDZmMjJlZTg3ODUxNTc2ZDgzOWQwOWZiN2FhNmEiLCJ1c2VySWQiOiIxNzc3MzEzNTU5In0=</vt:lpwstr>
  </property>
</Properties>
</file>