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临床思维训练系统</w:t>
      </w:r>
    </w:p>
    <w:p w14:paraId="14DDC134">
      <w:pPr>
        <w:pStyle w:val="29"/>
        <w:jc w:val="center"/>
        <w:outlineLvl w:val="2"/>
      </w:pPr>
      <w:r>
        <w:rPr>
          <w:b/>
          <w:sz w:val="28"/>
        </w:rPr>
        <w:t>采购项目编号：</w:t>
      </w:r>
      <w:r>
        <w:rPr>
          <w:rFonts w:hint="eastAsia" w:ascii="宋体"/>
          <w:b/>
          <w:sz w:val="30"/>
          <w:szCs w:val="30"/>
          <w:lang w:eastAsia="zh-CN"/>
        </w:rPr>
        <w:t>LYC-2025-095</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11</w:t>
      </w:r>
      <w:r>
        <w:rPr>
          <w:b/>
          <w:sz w:val="28"/>
        </w:rPr>
        <w:t>月</w:t>
      </w:r>
      <w:r>
        <w:rPr>
          <w:rFonts w:hint="eastAsia"/>
          <w:b/>
          <w:sz w:val="28"/>
          <w:lang w:val="en-US" w:eastAsia="zh-CN"/>
        </w:rPr>
        <w:t>24</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LYC-2025-095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临床思维训练系统</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28.8</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28.8</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无。</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12</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1</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12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2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、范老师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、15882554789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2880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2880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13038"/>
      <w:bookmarkStart w:id="8" w:name="_Toc31240"/>
      <w:bookmarkStart w:id="9" w:name="_Toc24295"/>
      <w:bookmarkStart w:id="10" w:name="_Toc17067"/>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本项目采购活动中需要依法回避的采购人员是指采购人内部负责采购项目的具体经办工作人员和直接</w:t>
      </w:r>
      <w:r>
        <w:rPr>
          <w:rFonts w:hint="eastAsia" w:hAnsi="宋体"/>
          <w:color w:val="auto"/>
          <w:sz w:val="24"/>
        </w:rPr>
        <w:t>分管采购项目的负责人。本项目采购活动中需要依法回避的相关人员是指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采购合同的，将认定成交无效；成交后签订采购合同未履行的，将认定成交无效，同时撤销采购合同；成交后签订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250646"/>
      <w:bookmarkStart w:id="12" w:name="_Toc101338364"/>
      <w:bookmarkStart w:id="13" w:name="_Toc430773927"/>
      <w:bookmarkStart w:id="14" w:name="_Toc101174151"/>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w:t>
      </w:r>
      <w:r>
        <w:rPr>
          <w:rFonts w:hint="eastAsia" w:ascii="宋体" w:hAnsi="宋体" w:cs="Times New Roman"/>
          <w:b w:val="0"/>
          <w:bCs w:val="0"/>
          <w:sz w:val="24"/>
          <w:lang w:val="en-US" w:eastAsia="zh-CN"/>
        </w:rPr>
        <w:t>无</w:t>
      </w:r>
      <w:r>
        <w:rPr>
          <w:rFonts w:hint="eastAsia" w:ascii="宋体" w:hAnsi="宋体" w:eastAsia="宋体" w:cs="Times New Roman"/>
          <w:b w:val="0"/>
          <w:bCs w:val="0"/>
          <w:sz w:val="24"/>
          <w:lang w:val="en-US" w:eastAsia="zh-CN"/>
        </w:rPr>
        <w:t>。</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89075878"/>
      <w:bookmarkStart w:id="17" w:name="_Toc217446056"/>
      <w:bookmarkStart w:id="18" w:name="_Toc183582231"/>
      <w:bookmarkStart w:id="19" w:name="_Toc77400782"/>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582232"/>
      <w:bookmarkStart w:id="24" w:name="_Toc217446057"/>
      <w:bookmarkStart w:id="25" w:name="_Toc183682369"/>
      <w:r>
        <w:rPr>
          <w:rFonts w:hint="eastAsia" w:ascii="黑体" w:hAnsi="宋体" w:eastAsia="黑体"/>
          <w:b/>
          <w:sz w:val="32"/>
          <w:szCs w:val="32"/>
        </w:rPr>
        <w:t>采购项目技术、服务、采购合同内容条款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27680"/>
      <w:bookmarkStart w:id="29" w:name="_Toc3397"/>
      <w:r>
        <w:rPr>
          <w:sz w:val="24"/>
          <w:szCs w:val="32"/>
        </w:rPr>
        <w:t>邻水县人民医院拟对</w:t>
      </w:r>
      <w:r>
        <w:rPr>
          <w:rFonts w:hint="eastAsia" w:cs="Times New Roman"/>
          <w:sz w:val="24"/>
          <w:szCs w:val="32"/>
          <w:lang w:eastAsia="zh-CN"/>
        </w:rPr>
        <w:t>临床思维训练系统</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475"/>
        <w:gridCol w:w="1164"/>
        <w:gridCol w:w="1440"/>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475"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64"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440"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475"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bookmarkStart w:id="36" w:name="_GoBack"/>
            <w:r>
              <w:rPr>
                <w:rFonts w:hint="eastAsia" w:ascii="宋体" w:hAnsi="宋体" w:cs="宋体"/>
                <w:color w:val="auto"/>
                <w:kern w:val="0"/>
                <w:sz w:val="24"/>
                <w:szCs w:val="24"/>
                <w:highlight w:val="none"/>
                <w:u w:val="none"/>
                <w:lang w:val="en-US" w:eastAsia="zh-CN"/>
              </w:rPr>
              <w:t>临床思维训练系统</w:t>
            </w:r>
            <w:bookmarkEnd w:id="36"/>
          </w:p>
        </w:tc>
        <w:tc>
          <w:tcPr>
            <w:tcW w:w="116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套</w:t>
            </w:r>
          </w:p>
        </w:tc>
        <w:tc>
          <w:tcPr>
            <w:tcW w:w="1440"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1</w:t>
            </w:r>
          </w:p>
        </w:tc>
        <w:tc>
          <w:tcPr>
            <w:tcW w:w="1082"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auto"/>
          <w:kern w:val="2"/>
          <w:sz w:val="24"/>
          <w:szCs w:val="24"/>
          <w:lang w:val="en-US" w:eastAsia="zh-CN" w:bidi="ar-SA"/>
        </w:rPr>
        <w:t>（全部为实质性要求，不允许负偏离）</w:t>
      </w:r>
    </w:p>
    <w:tbl>
      <w:tblPr>
        <w:tblStyle w:val="15"/>
        <w:tblW w:w="9032" w:type="dxa"/>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fixed"/>
        <w:tblCellMar>
          <w:top w:w="15" w:type="dxa"/>
          <w:left w:w="15" w:type="dxa"/>
          <w:bottom w:w="15" w:type="dxa"/>
          <w:right w:w="15" w:type="dxa"/>
        </w:tblCellMar>
      </w:tblPr>
      <w:tblGrid>
        <w:gridCol w:w="831"/>
        <w:gridCol w:w="1863"/>
        <w:gridCol w:w="6338"/>
      </w:tblGrid>
      <w:tr w14:paraId="3B348AB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53" w:hRule="atLeast"/>
          <w:jc w:val="center"/>
        </w:trPr>
        <w:tc>
          <w:tcPr>
            <w:tcW w:w="831" w:type="dxa"/>
            <w:tcBorders>
              <w:top w:val="single" w:color="auto" w:sz="4" w:space="0"/>
              <w:left w:val="single" w:color="auto" w:sz="4" w:space="0"/>
              <w:right w:val="single" w:color="auto" w:sz="4" w:space="0"/>
            </w:tcBorders>
            <w:shd w:val="clear" w:color="auto" w:fill="FFFFFF"/>
            <w:tcMar>
              <w:top w:w="0" w:type="dxa"/>
              <w:left w:w="105" w:type="dxa"/>
              <w:bottom w:w="0" w:type="dxa"/>
              <w:right w:w="105" w:type="dxa"/>
            </w:tcMar>
            <w:vAlign w:val="center"/>
          </w:tcPr>
          <w:p w14:paraId="14FEC9F7">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菜单</w:t>
            </w:r>
          </w:p>
        </w:tc>
        <w:tc>
          <w:tcPr>
            <w:tcW w:w="1863" w:type="dxa"/>
            <w:tcBorders>
              <w:top w:val="single" w:color="auto" w:sz="6" w:space="0"/>
              <w:left w:val="single" w:color="auto" w:sz="4" w:space="0"/>
              <w:bottom w:val="single" w:color="auto" w:sz="6" w:space="0"/>
              <w:right w:val="single" w:color="auto" w:sz="6" w:space="0"/>
            </w:tcBorders>
            <w:shd w:val="clear" w:color="auto" w:fill="FFFFFF"/>
            <w:vAlign w:val="center"/>
          </w:tcPr>
          <w:p w14:paraId="24955EA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子功能</w:t>
            </w:r>
          </w:p>
        </w:tc>
        <w:tc>
          <w:tcPr>
            <w:tcW w:w="6338" w:type="dxa"/>
            <w:tcBorders>
              <w:top w:val="single" w:color="auto" w:sz="6" w:space="0"/>
              <w:left w:val="single" w:color="auto" w:sz="4" w:space="0"/>
              <w:bottom w:val="single" w:color="auto" w:sz="6" w:space="0"/>
              <w:right w:val="single" w:color="auto" w:sz="6" w:space="0"/>
            </w:tcBorders>
            <w:shd w:val="clear" w:color="auto" w:fill="FFFFFF"/>
            <w:vAlign w:val="center"/>
          </w:tcPr>
          <w:p w14:paraId="4F1FB07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描述</w:t>
            </w:r>
          </w:p>
        </w:tc>
      </w:tr>
      <w:tr w14:paraId="256860C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53" w:hRule="atLeast"/>
          <w:jc w:val="center"/>
        </w:trPr>
        <w:tc>
          <w:tcPr>
            <w:tcW w:w="831" w:type="dxa"/>
            <w:vMerge w:val="restart"/>
            <w:tcBorders>
              <w:top w:val="single" w:color="auto" w:sz="4" w:space="0"/>
              <w:left w:val="single" w:color="auto" w:sz="4" w:space="0"/>
              <w:right w:val="single" w:color="auto" w:sz="4" w:space="0"/>
            </w:tcBorders>
            <w:shd w:val="clear" w:color="auto" w:fill="FFFFFF"/>
            <w:tcMar>
              <w:top w:w="0" w:type="dxa"/>
              <w:left w:w="105" w:type="dxa"/>
              <w:bottom w:w="0" w:type="dxa"/>
              <w:right w:w="105" w:type="dxa"/>
            </w:tcMar>
            <w:vAlign w:val="center"/>
          </w:tcPr>
          <w:p w14:paraId="788F3E0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技术要求</w:t>
            </w:r>
          </w:p>
        </w:tc>
        <w:tc>
          <w:tcPr>
            <w:tcW w:w="1863" w:type="dxa"/>
            <w:tcBorders>
              <w:top w:val="single" w:color="auto" w:sz="6" w:space="0"/>
              <w:left w:val="single" w:color="auto" w:sz="4" w:space="0"/>
              <w:bottom w:val="single" w:color="auto" w:sz="6" w:space="0"/>
              <w:right w:val="single" w:color="auto" w:sz="6" w:space="0"/>
            </w:tcBorders>
            <w:shd w:val="clear" w:color="auto" w:fill="FFFFFF"/>
            <w:vAlign w:val="center"/>
          </w:tcPr>
          <w:p w14:paraId="4AC44762">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sz w:val="24"/>
                <w:szCs w:val="24"/>
              </w:rPr>
              <w:t>系统架构</w:t>
            </w:r>
          </w:p>
        </w:tc>
        <w:tc>
          <w:tcPr>
            <w:tcW w:w="6338" w:type="dxa"/>
            <w:tcBorders>
              <w:top w:val="single" w:color="auto" w:sz="6" w:space="0"/>
              <w:left w:val="single" w:color="auto" w:sz="4" w:space="0"/>
              <w:bottom w:val="single" w:color="auto" w:sz="6" w:space="0"/>
              <w:right w:val="single" w:color="auto" w:sz="6" w:space="0"/>
            </w:tcBorders>
            <w:shd w:val="clear" w:color="auto" w:fill="FFFFFF"/>
            <w:vAlign w:val="center"/>
          </w:tcPr>
          <w:p w14:paraId="5CB3B6B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sz w:val="24"/>
                <w:szCs w:val="24"/>
              </w:rPr>
            </w:pPr>
            <w:r>
              <w:rPr>
                <w:rFonts w:hint="default" w:ascii="Times New Roman" w:hAnsi="Times New Roman" w:eastAsia="宋体" w:cs="Times New Roman"/>
                <w:b w:val="0"/>
                <w:bCs w:val="0"/>
                <w:i w:val="0"/>
                <w:color w:val="auto"/>
                <w:kern w:val="0"/>
                <w:sz w:val="24"/>
                <w:szCs w:val="24"/>
                <w:u w:val="none"/>
                <w:lang w:val="en-US" w:eastAsia="zh-CN" w:bidi="ar-SA"/>
              </w:rPr>
              <w:t xml:space="preserve"> 1）</w:t>
            </w:r>
            <w:r>
              <w:rPr>
                <w:rFonts w:hint="default" w:ascii="Times New Roman" w:hAnsi="Times New Roman" w:eastAsia="宋体" w:cs="Times New Roman"/>
                <w:sz w:val="24"/>
                <w:szCs w:val="24"/>
              </w:rPr>
              <w:t>B/S、移动端的开发模式，包括教师端应用和学生端应用。</w:t>
            </w:r>
          </w:p>
          <w:p w14:paraId="5730E9E0">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教师端应用必须支持WEB浏览器与手机移动端APP使用，支持主流浏览器、</w:t>
            </w:r>
            <w:r>
              <w:rPr>
                <w:rFonts w:hint="default" w:ascii="Times New Roman" w:hAnsi="Times New Roman" w:eastAsia="宋体" w:cs="Times New Roman"/>
                <w:kern w:val="0"/>
                <w:sz w:val="24"/>
                <w:szCs w:val="24"/>
              </w:rPr>
              <w:t>安卓手机</w:t>
            </w:r>
            <w:r>
              <w:rPr>
                <w:rFonts w:hint="default" w:ascii="Times New Roman" w:hAnsi="Times New Roman" w:eastAsia="宋体" w:cs="Times New Roman"/>
                <w:sz w:val="24"/>
                <w:szCs w:val="24"/>
              </w:rPr>
              <w:t>APP</w:t>
            </w:r>
            <w:r>
              <w:rPr>
                <w:rFonts w:hint="default" w:ascii="Times New Roman" w:hAnsi="Times New Roman" w:eastAsia="宋体" w:cs="Times New Roman"/>
                <w:kern w:val="0"/>
                <w:sz w:val="24"/>
                <w:szCs w:val="24"/>
              </w:rPr>
              <w:t>、iOS手机</w:t>
            </w:r>
            <w:r>
              <w:rPr>
                <w:rFonts w:hint="default" w:ascii="Times New Roman" w:hAnsi="Times New Roman" w:eastAsia="宋体" w:cs="Times New Roman"/>
                <w:sz w:val="24"/>
                <w:szCs w:val="24"/>
              </w:rPr>
              <w:t>APP</w:t>
            </w:r>
            <w:r>
              <w:rPr>
                <w:rFonts w:hint="default" w:ascii="Times New Roman" w:hAnsi="Times New Roman" w:eastAsia="宋体" w:cs="Times New Roman"/>
                <w:kern w:val="0"/>
                <w:sz w:val="24"/>
                <w:szCs w:val="24"/>
              </w:rPr>
              <w:t>使用</w:t>
            </w:r>
            <w:r>
              <w:rPr>
                <w:rFonts w:hint="default" w:ascii="Times New Roman" w:hAnsi="Times New Roman" w:eastAsia="宋体" w:cs="Times New Roman"/>
                <w:sz w:val="24"/>
                <w:szCs w:val="24"/>
              </w:rPr>
              <w:t>。</w:t>
            </w:r>
          </w:p>
          <w:p w14:paraId="6D6C4F87">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学生端应用必须支持WEB浏览器与手机移动端APP使用，支持主流浏览器、安卓手机APP、iOS手机APP使用；以学生为中心设计，页面可直观展示学生自身的学习项目，包括但不限于专业课程、理论考试等项目及数量；可直观展示学生的本周学习任务，学习时长汇总及排名。</w:t>
            </w:r>
          </w:p>
        </w:tc>
      </w:tr>
      <w:tr w14:paraId="4561169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53"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4D5E61B">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409B6CB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登录方式</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3B0A977F">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sz w:val="24"/>
                <w:szCs w:val="24"/>
              </w:rPr>
              <w:t>支持账号、扫码、短信验证码等多种登录方式。</w:t>
            </w:r>
          </w:p>
        </w:tc>
      </w:tr>
      <w:tr w14:paraId="14FE0DF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top w:val="nil"/>
              <w:left w:val="single" w:color="auto" w:sz="4" w:space="0"/>
              <w:right w:val="single" w:color="auto" w:sz="4" w:space="0"/>
            </w:tcBorders>
            <w:shd w:val="clear" w:color="auto" w:fill="FFFFFF"/>
            <w:tcMar>
              <w:top w:w="0" w:type="dxa"/>
              <w:left w:w="105" w:type="dxa"/>
              <w:bottom w:w="0" w:type="dxa"/>
              <w:right w:w="105" w:type="dxa"/>
            </w:tcMar>
            <w:vAlign w:val="center"/>
          </w:tcPr>
          <w:p w14:paraId="4CD33F89">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课程管理</w:t>
            </w:r>
          </w:p>
        </w:tc>
        <w:tc>
          <w:tcPr>
            <w:tcW w:w="1863" w:type="dxa"/>
            <w:tcBorders>
              <w:top w:val="nil"/>
              <w:left w:val="single" w:color="auto" w:sz="4" w:space="0"/>
              <w:bottom w:val="single" w:color="auto" w:sz="6" w:space="0"/>
              <w:right w:val="single" w:color="auto" w:sz="6" w:space="0"/>
            </w:tcBorders>
            <w:shd w:val="clear" w:color="auto" w:fill="FFFFFF"/>
            <w:vAlign w:val="center"/>
          </w:tcPr>
          <w:p w14:paraId="1815494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课程编排</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20714A02">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1）支持自定义添加课程名称，课程目录、课程内容、单元测验；课程学习内容支持</w:t>
            </w:r>
            <w:r>
              <w:rPr>
                <w:rFonts w:ascii="宋体" w:hAnsi="宋体" w:eastAsia="宋体" w:cs="宋体"/>
                <w:sz w:val="24"/>
              </w:rPr>
              <w:t>11个案例训练模式，可用于教学、考核、竞赛等。案例支持实战演练模式、套路训练模式；分段模式：病情采集专项、诊疗计划专项、临床决策专项、问诊专项、查体专项、辅检专项、诊断专项、治疗专项；分步递呈模式</w:t>
            </w:r>
            <w:r>
              <w:rPr>
                <w:rFonts w:hint="eastAsia" w:ascii="宋体" w:hAnsi="宋体" w:eastAsia="宋体" w:cs="宋体"/>
                <w:sz w:val="24"/>
                <w:lang w:eastAsia="zh-CN"/>
              </w:rPr>
              <w:t>、</w:t>
            </w:r>
            <w:r>
              <w:rPr>
                <w:rFonts w:hint="default" w:ascii="Times New Roman" w:hAnsi="Times New Roman" w:eastAsia="宋体" w:cs="Times New Roman"/>
                <w:b w:val="0"/>
                <w:bCs w:val="0"/>
                <w:i w:val="0"/>
                <w:color w:val="auto"/>
                <w:kern w:val="0"/>
                <w:sz w:val="24"/>
                <w:szCs w:val="24"/>
                <w:u w:val="none"/>
                <w:lang w:val="en-US" w:eastAsia="zh-CN" w:bidi="ar-SA"/>
              </w:rPr>
              <w:t>自由学习模式、完成条件解锁模式</w:t>
            </w:r>
            <w:r>
              <w:rPr>
                <w:rFonts w:ascii="宋体" w:hAnsi="宋体" w:eastAsia="宋体" w:cs="宋体"/>
                <w:sz w:val="24"/>
              </w:rPr>
              <w:t>等多种类型。</w:t>
            </w:r>
            <w:r>
              <w:rPr>
                <w:rFonts w:hint="default" w:ascii="Times New Roman" w:hAnsi="Times New Roman" w:eastAsia="宋体" w:cs="Times New Roman"/>
                <w:b w:val="0"/>
                <w:bCs w:val="0"/>
                <w:i w:val="0"/>
                <w:color w:val="auto"/>
                <w:kern w:val="0"/>
                <w:sz w:val="24"/>
                <w:szCs w:val="24"/>
                <w:u w:val="none"/>
                <w:lang w:val="en-US" w:eastAsia="zh-CN" w:bidi="ar-SA"/>
              </w:rPr>
              <w:t>完成条件至少包含分数达标、训练次数达标、训练时长达标模式；课程内容支持从系统视频资源、临床思维案例、虚拟仿真项目选择编排；单元测验支持从系统视频资源、临床思维案例、虚拟仿真项目选择编排。支持学员PC浏览器、手机APP进行课程学习。（提供截图并标注功能说明）</w:t>
            </w:r>
          </w:p>
          <w:p w14:paraId="18F0BAA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2）支持机构课程、我的课程分类根据权限分配、课程查询。</w:t>
            </w:r>
          </w:p>
          <w:p w14:paraId="448AAADA">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3）课程清单支持列表、卡片2种布局模式。</w:t>
            </w:r>
            <w:r>
              <w:rPr>
                <w:rFonts w:hint="default" w:ascii="Times New Roman" w:hAnsi="Times New Roman" w:eastAsia="宋体" w:cs="Times New Roman"/>
                <w:b w:val="0"/>
                <w:bCs w:val="0"/>
                <w:i w:val="0"/>
                <w:color w:val="auto"/>
                <w:kern w:val="0"/>
                <w:sz w:val="24"/>
                <w:szCs w:val="24"/>
                <w:u w:val="none"/>
                <w:lang w:val="en-US" w:eastAsia="zh-CN" w:bidi="ar-SA"/>
              </w:rPr>
              <w:br w:type="textWrapping"/>
            </w:r>
            <w:r>
              <w:rPr>
                <w:rFonts w:hint="default" w:ascii="Times New Roman" w:hAnsi="Times New Roman" w:eastAsia="宋体" w:cs="Times New Roman"/>
                <w:b w:val="0"/>
                <w:bCs w:val="0"/>
                <w:i w:val="0"/>
                <w:color w:val="auto"/>
                <w:kern w:val="0"/>
                <w:sz w:val="24"/>
                <w:szCs w:val="24"/>
                <w:u w:val="none"/>
                <w:lang w:val="en-US" w:eastAsia="zh-CN" w:bidi="ar-SA"/>
              </w:rPr>
              <w:t>4）课程支持上架、下架、复制另存功能。</w:t>
            </w:r>
          </w:p>
        </w:tc>
      </w:tr>
      <w:tr w14:paraId="0ABE131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349D0556">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338C5312">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课程安排</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62AD202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支持按部门批量选择、删除学员，支持课程自由模式、顺序模式发布。</w:t>
            </w:r>
          </w:p>
        </w:tc>
      </w:tr>
      <w:tr w14:paraId="0DBE7A3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2183DB3A">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1646EC84">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课程数据统计</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127EE1A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支持查看课程总人数、已完成人数、完成率、测验达标率；支持查看课程任一内容、测验参与人数、完成人数、完成率、平均成绩、平均用时；任一学员课程完成学习内容数量、进度、完成测验数、达标测验数、学习总用时列表，支持学习进度条显示及排序。支持课程内容、单元测验明细展示，包括当前状态、完成进度、最高成绩、是否达标。（提供截图并标注功能说明）</w:t>
            </w:r>
          </w:p>
        </w:tc>
      </w:tr>
      <w:tr w14:paraId="022D67C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top w:val="nil"/>
              <w:left w:val="single" w:color="auto" w:sz="4" w:space="0"/>
              <w:right w:val="single" w:color="auto" w:sz="4" w:space="0"/>
            </w:tcBorders>
            <w:shd w:val="clear" w:color="auto" w:fill="FFFFFF"/>
            <w:tcMar>
              <w:top w:w="0" w:type="dxa"/>
              <w:left w:w="105" w:type="dxa"/>
              <w:bottom w:w="0" w:type="dxa"/>
              <w:right w:w="105" w:type="dxa"/>
            </w:tcMar>
            <w:vAlign w:val="center"/>
          </w:tcPr>
          <w:p w14:paraId="66046191">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案例功能</w:t>
            </w:r>
          </w:p>
        </w:tc>
        <w:tc>
          <w:tcPr>
            <w:tcW w:w="1863" w:type="dxa"/>
            <w:tcBorders>
              <w:top w:val="nil"/>
              <w:left w:val="single" w:color="auto" w:sz="4" w:space="0"/>
              <w:bottom w:val="single" w:color="auto" w:sz="6" w:space="0"/>
              <w:right w:val="single" w:color="auto" w:sz="6" w:space="0"/>
            </w:tcBorders>
            <w:shd w:val="clear" w:color="auto" w:fill="FFFFFF"/>
            <w:vAlign w:val="center"/>
          </w:tcPr>
          <w:p w14:paraId="47796F74">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AI问诊</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48E20F8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1）问诊具备自然语音交互问诊和选择问诊两种模式。</w:t>
            </w:r>
          </w:p>
          <w:p w14:paraId="751E102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2）智能语音、语义识别：必须具有语音识别和语义理解能力，可直接对虚拟病人进行语音问诊，虚拟病人回答采用语音呈现；虚拟病人的回答，会根据病情的发展及干预自动变化。可实现发散式的提问方式，同一病例不同阶段、治疗处理前后，虚拟病人会根据身体状况做出不同的回答。</w:t>
            </w:r>
          </w:p>
        </w:tc>
      </w:tr>
      <w:tr w14:paraId="2B6B808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505A6851">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6E77A180">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体格检查</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30ABD72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1）具备和案例一致性别、年龄的3D虚拟病人；可按人体部位开放式进行视触叩听检查，系统自动实时反馈检查结果；心音、呼吸音、肠鸣音具备音频听诊功能。</w:t>
            </w:r>
          </w:p>
        </w:tc>
      </w:tr>
      <w:tr w14:paraId="7205CAF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0DC80D7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3F1E20A2">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辅助检查</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3FCF42B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1）包括但不限于实验室检查、影像学检查、病理检查、内镜检查、神经电生理检查、免疫学检查等各项检查项目≥200项，系统自动实时显示检查报告，心电图、X光图片，超声、MRI视频，并具备文字报告。</w:t>
            </w:r>
          </w:p>
        </w:tc>
      </w:tr>
      <w:tr w14:paraId="77769A5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1DEAA04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38B5788F">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诊断及鉴别诊断</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2F5D883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1）疾病诊断必须采用ICD疾病数据库搜索选择，不得使用已知病名的选择项模式</w:t>
            </w:r>
            <w:r>
              <w:rPr>
                <w:rFonts w:hint="default" w:ascii="Times New Roman" w:hAnsi="Times New Roman" w:eastAsia="宋体" w:cs="Times New Roman"/>
                <w:b w:val="0"/>
                <w:bCs w:val="0"/>
                <w:color w:val="auto"/>
                <w:sz w:val="24"/>
                <w:szCs w:val="24"/>
              </w:rPr>
              <w:t>，支持疾病名称中文、拼音搜索；支持选择后组配信息，包括但不限于致因属性、侧性、具体解剖部位、具体表现等。（</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352A316C">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2）系统支持为所选初步诊断添加诊断依据，支持为所选鉴别诊断添加排除依据，系统可自动判断学员所选依据的准确性；对于实验室检查报告，依据选择可至报告的任一子项。（提供截图并标注功能说明）</w:t>
            </w:r>
          </w:p>
        </w:tc>
      </w:tr>
      <w:tr w14:paraId="527CB4E7">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bottom w:val="single" w:color="auto" w:sz="6" w:space="0"/>
              <w:right w:val="single" w:color="auto" w:sz="4" w:space="0"/>
            </w:tcBorders>
            <w:shd w:val="clear" w:color="auto" w:fill="FFFFFF"/>
            <w:tcMar>
              <w:top w:w="0" w:type="dxa"/>
              <w:left w:w="105" w:type="dxa"/>
              <w:bottom w:w="0" w:type="dxa"/>
              <w:right w:w="105" w:type="dxa"/>
            </w:tcMar>
            <w:vAlign w:val="center"/>
          </w:tcPr>
          <w:p w14:paraId="23E8A434">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56F5E587">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治疗</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17E383A8">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1）包括护理、膳食、药物、手术、特殊处置、健康宣教等内容。</w:t>
            </w:r>
          </w:p>
          <w:p w14:paraId="1C48296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2）手术名称内置不低于3000种选择。</w:t>
            </w:r>
          </w:p>
        </w:tc>
      </w:tr>
      <w:tr w14:paraId="021F397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bottom w:val="single" w:color="auto" w:sz="6" w:space="0"/>
              <w:right w:val="single" w:color="auto" w:sz="4" w:space="0"/>
            </w:tcBorders>
            <w:shd w:val="clear" w:color="auto" w:fill="FFFFFF"/>
            <w:tcMar>
              <w:top w:w="0" w:type="dxa"/>
              <w:left w:w="105" w:type="dxa"/>
              <w:bottom w:w="0" w:type="dxa"/>
              <w:right w:w="105" w:type="dxa"/>
            </w:tcMar>
            <w:vAlign w:val="center"/>
          </w:tcPr>
          <w:p w14:paraId="51ECEC89">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5833996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诊疗日志</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0D8F806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系统支持记录学员的所有诊疗操作，生成诊疗日志；可在病例进行中查看所有已操作项目及检查结果，可查看实验室检查报告，影像学检查图片、视频报告。</w:t>
            </w:r>
          </w:p>
        </w:tc>
      </w:tr>
      <w:tr w14:paraId="3E5C365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bottom w:val="single" w:color="auto" w:sz="6" w:space="0"/>
              <w:right w:val="single" w:color="auto" w:sz="4" w:space="0"/>
            </w:tcBorders>
            <w:shd w:val="clear" w:color="auto" w:fill="FFFFFF"/>
            <w:tcMar>
              <w:top w:w="0" w:type="dxa"/>
              <w:left w:w="105" w:type="dxa"/>
              <w:bottom w:w="0" w:type="dxa"/>
              <w:right w:w="105" w:type="dxa"/>
            </w:tcMar>
            <w:vAlign w:val="center"/>
          </w:tcPr>
          <w:p w14:paraId="70126C6D">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67F30098">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诊疗能力分析</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4308239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显示每个案例用时、得分，成绩包括问诊、体格检查、辅助检查、诊断、鉴别诊断、治疗模块各部分得分及权重，并与各模块评分细则的加分、扣分图形化交互联动，知识点、禁忌项各模块得分、扣分情况；支持详细显示考生所有诊疗项，并对每个诊疗项与参考答案对照批注。（</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77114C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bottom w:val="single" w:color="auto" w:sz="6" w:space="0"/>
              <w:right w:val="single" w:color="auto" w:sz="4" w:space="0"/>
            </w:tcBorders>
            <w:shd w:val="clear" w:color="auto" w:fill="FFFFFF"/>
            <w:tcMar>
              <w:top w:w="0" w:type="dxa"/>
              <w:left w:w="105" w:type="dxa"/>
              <w:bottom w:w="0" w:type="dxa"/>
              <w:right w:w="105" w:type="dxa"/>
            </w:tcMar>
            <w:vAlign w:val="center"/>
          </w:tcPr>
          <w:p w14:paraId="51ECE4FE">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1663105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急危重症案例</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5D6F48E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完全的生理驱动模式，对临床干预措施和药物治疗均能做出自动生理反应，生命体征实时变化，3D虚拟病人的意识、皮肤特征、动作、对话内容也会自动变化。</w:t>
            </w:r>
          </w:p>
          <w:p w14:paraId="28FCC90D">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2）符合临床的逻辑病程设置。例如患者昏迷，问诊时，虚拟病人将无法进行回答、口服药物等操作；如未进行外周静脉导管，将无法进行外周静脉穿刺给药；患者身体虚弱，将无法选择坐位。</w:t>
            </w:r>
          </w:p>
          <w:p w14:paraId="5337178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诊疗场景、虚拟病人、诊疗设备等必须采用3D建模。虚拟病人包含表情（口角歪斜、疼痛、虚弱等）、意识（意识丧失、瞳孔对光反射等）、会动（胸廓起伏、眨眼、头部晃动等）、会对话（可语音问诊、可语音对话）、皮肤体征（出汗、四肢和嘴唇紫绀、创伤出血等）。</w:t>
            </w:r>
          </w:p>
          <w:p w14:paraId="291EC7F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4）急危重症案例体格检查应包含以下功能：</w:t>
            </w:r>
          </w:p>
          <w:p w14:paraId="18255BD6">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①气道：可选择气道观察，显示病情对应的气道检查结果。</w:t>
            </w:r>
          </w:p>
          <w:p w14:paraId="4235D89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②呼吸：至少包含肺部听诊、胸部触诊、胸部叩诊。具备虚拟听诊器，听诊器在指定位置，自动播放对应呼吸音，必须具备3D虚拟病人仰卧位听诊、坐位前胸和坐位后背听诊；可对胸部进行叩诊操作，播放相应叩诊音，必须具备3D虚拟病人仰卧位诊扣、坐位扣诊；可对胸部进行触诊操作，并显示触诊结果。（提供截图并标注功能说明）</w:t>
            </w:r>
          </w:p>
          <w:p w14:paraId="5CC5C0F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③循环：至少包括心脏听诊、脉搏触诊、毛细血管充盈时间。具备虚拟听诊器，听诊器在指定位置，才会自动播放对应心音；脉搏触诊部位包括双侧颈动脉、桡动脉、股动脉、腘动脉，自动显示脉搏频率。</w:t>
            </w:r>
          </w:p>
          <w:p w14:paraId="3B479A6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④能力丧失：至少包括格拉斯哥昏迷量表、瞳孔对光反射。可选择虚拟手电筒，检查瞳孔对光反射情况，并以交互式动画显示。</w:t>
            </w:r>
          </w:p>
          <w:p w14:paraId="2A9C8497">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⑤暴露：至少包括腹部听诊、腹部叩诊、腹部触诊、四肢检查。具备虚拟听诊器，听诊器在指定位置，才会自动播放对应肠鸣音；可对腹部进行叩诊操作，播放相应叩诊音；可对腹部进行触诊操作，并显示触诊结果。</w:t>
            </w:r>
          </w:p>
          <w:p w14:paraId="542AD38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5）急危重症案例辅助检查应具备以下内容：</w:t>
            </w:r>
          </w:p>
          <w:p w14:paraId="52278A9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①实验室检查包括动脉全血计数、动脉血气、尿液分析、尿抗原、凝血试验、心脏标志物、血培养、血糖、血脂等，可以同时为虚拟病人选择安排多项实验室检查，检查报告自动生成。</w:t>
            </w:r>
          </w:p>
          <w:p w14:paraId="2AD74B22">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②实验室检查项目须具备生理学功能，红细胞压积HCT、血红蛋白HGB、血小板PLT、红细胞计数RBC、白细胞计数WBC、动脉氧分压pO2、动脉二氧化碳分压pCO2、血液酸碱度PH、碳酸氢盐HCO3、尿蛋白、酮体、胆红素等指标必须随虚拟病人病情发展以及干预措施自动做出实时变化。（提供截图并标注功能说明）</w:t>
            </w:r>
          </w:p>
          <w:p w14:paraId="5733D3C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③影像学检查必须包括但不限于以下内容及功能：CT血管造影、骨盆X线摄影、腹部CT断层扫描、腹部X线摄影、腹部超声、颈动脉多普勒超声、胸部CT扫描、胸片、结肠镜检查、冠状动脉造影、头颅CT、颈椎侧脊柱X光片、盆腔CT断层扫描、经食管超声、经胸超声、上消化道内镜检查等。</w:t>
            </w:r>
          </w:p>
          <w:p w14:paraId="1D5F1D8C">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6）实时生命体征监护应具备以下功能：</w:t>
            </w:r>
          </w:p>
          <w:p w14:paraId="215A88A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①具备虚拟监护仪界面设计，在学员选择的检查项目后，自动展示对应指标数值或波形，3D虚拟病人对应监护设备连接动画。</w:t>
            </w:r>
          </w:p>
          <w:p w14:paraId="2D144B42">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②监护体征包括：血压、ECG监护、心率、血氧饱和度、呼吸频率、呼末二氧化碳、体温等。</w:t>
            </w:r>
          </w:p>
          <w:p w14:paraId="79972AED">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③虚拟病人的生命体征监护对于人为干预措施自动做出实时生理反应，例如对于缺氧的病人佩戴呼吸面罩后，病人的血氧饱和度会慢慢上升。</w:t>
            </w:r>
          </w:p>
          <w:p w14:paraId="0E5E1F6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④监护仪具备“报警”、“静音”开启/关闭功能。</w:t>
            </w:r>
          </w:p>
          <w:p w14:paraId="0300F87C">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7）虚拟病人对临床干预措施必须自动反馈相应的生理变化，包括虚拟人体特征及生命体征监护数据，临床干预措施必须包含但不限于以下内容及功能：</w:t>
            </w:r>
          </w:p>
          <w:p w14:paraId="053DF75A">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①固定：颈托、骨盆固定带</w:t>
            </w:r>
          </w:p>
          <w:p w14:paraId="2619C93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②复律：双向除颤器-同步</w:t>
            </w:r>
          </w:p>
          <w:p w14:paraId="032A5180">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③导管：静脉导管、导尿术、气管插管、口咽通气管、鼻咽通气管</w:t>
            </w:r>
          </w:p>
          <w:p w14:paraId="1CED1E26">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④呼吸道清理：吸痰、雾疗疗法、胸部震动法、鼓励咳嗽</w:t>
            </w:r>
          </w:p>
          <w:p w14:paraId="33FC67C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⑤生命支持：胸外按压</w:t>
            </w:r>
          </w:p>
          <w:p w14:paraId="2113EF4C">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⑥病人体位：仰卧位、坐立、背身坐立等</w:t>
            </w:r>
          </w:p>
          <w:p w14:paraId="517C4B3A">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⑦气胸减压：双侧胸腔穿刺</w:t>
            </w:r>
          </w:p>
          <w:p w14:paraId="7C0EB59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⑧双侧胸腔封闭贴</w:t>
            </w:r>
          </w:p>
          <w:p w14:paraId="3338CF8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⑨给氧：鼻套管、简易面罩、非循环呼吸面罩</w:t>
            </w:r>
          </w:p>
          <w:p w14:paraId="7E4E78D6">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⑩输血：输血、红血球浓厚液</w:t>
            </w:r>
          </w:p>
          <w:p w14:paraId="6611173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⑪机械通气：有创通气、无创通气</w:t>
            </w:r>
          </w:p>
          <w:p w14:paraId="7CFC3F7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⑫除颤：双向除颤器-非同步</w:t>
            </w:r>
          </w:p>
          <w:p w14:paraId="53D17CEC">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⑬营养补充：碳水化合物、蛋白质、脂肪、钙、钠、水</w:t>
            </w:r>
          </w:p>
          <w:p w14:paraId="5046300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8）药物治疗：药物种类包括镇痛药、麻醉药、解毒剂、消炎药、支气管扩张剂、激素类、利尿剂、体液及电解质、弛缓剂和镇静剂、血管活性药、中枢兴奋剂等；可选择静脉推注、肌肉注射、静脉输液、骨内注射、皮下注射、心包注射等多种给药方式；可选择药物的浓度、计量、速率，使用药物后，自动引起虚拟病人生理变化，可在实验室检查结果、虚拟病人体征以及模拟监护仪参数实时变化。（提供截图并标注功能说明）</w:t>
            </w:r>
          </w:p>
          <w:p w14:paraId="2F6D529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9）呼吸治疗：具备3D呼吸机功能，具备PC-CMV、PC-AC、VC-CMV、VC-AC、CPAP等模式选择，可监测Paw、Flow、Volume等波形，PIP、MVe、VT、Pmean、etCo2等指标；可通过虚拟呼吸机模型对FiO2、VT、Ti、RR、PEEP、Flow等指标进行设置，自动引起虚拟病人生理变化、呼吸机波形变化。</w:t>
            </w:r>
          </w:p>
          <w:p w14:paraId="676E5AC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10）会诊：包含普外科、导管室、手术室等进行辅助诊疗操作。</w:t>
            </w:r>
          </w:p>
          <w:p w14:paraId="1213376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11）评估系统应具备以下功能：</w:t>
            </w:r>
          </w:p>
          <w:p w14:paraId="131FB8C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①具备时间轴功能：学员做过所有问诊、体格检查、实验室检查、影像学检查、临床干预、用药、会诊等项目，系统自动记录并以时间轴的形式展示各项操作时间、操作项目、问诊回答、检查报告，并同步对应展示相应时间的监护仪参数，用来评估分析。系统自动对学员操作项目的必要性进行评价。</w:t>
            </w:r>
          </w:p>
          <w:p w14:paraId="11C4BE2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②具备综合评分系统，可视化图形展示，直观显现学员操作的最终得分。得分具有详细分类，包括检查权重值及得分、诊断权重值及得分、治疗权重值及得分、总得分。系统可分别记录包括气道、呼吸、循环、能力丧失、暴露、问诊、辅助检查、干预、用药、会诊、体位等各个子项目的分值及得分情况，并以第一优先级、第二优先级的形式显示学员正确、遗漏以及无意义的操作，并展示学员各项操作得分。（提供截图并标注功能说明）</w:t>
            </w:r>
          </w:p>
          <w:p w14:paraId="4488DCB7">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12）案例操作功能：病例在运行中可以暂停、快进（2倍速、4倍速）案例。可实时查看操作项目日志。具备一键清屏功能，隐藏屏幕多项检查报告。具备病人全景、头部、胸部、下肢等不同视角选择，满足不同部位查体要求。</w:t>
            </w:r>
          </w:p>
        </w:tc>
      </w:tr>
      <w:tr w14:paraId="0C867E0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bottom w:val="single" w:color="auto" w:sz="6" w:space="0"/>
              <w:right w:val="single" w:color="auto" w:sz="4" w:space="0"/>
            </w:tcBorders>
            <w:shd w:val="clear" w:color="auto" w:fill="FFFFFF"/>
            <w:tcMar>
              <w:top w:w="0" w:type="dxa"/>
              <w:left w:w="105" w:type="dxa"/>
              <w:bottom w:w="0" w:type="dxa"/>
              <w:right w:w="105" w:type="dxa"/>
            </w:tcMar>
            <w:vAlign w:val="center"/>
          </w:tcPr>
          <w:p w14:paraId="647A1C11">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4FC2CB6F">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案例配置</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59F9390D">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1）系统应至少包含专科临床思维系统模块、全科临床思维系统模块、重症临床思维模块。</w:t>
            </w:r>
          </w:p>
          <w:p w14:paraId="03C5C090">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2）案例应包含不少于内科、外科、妇产科、儿科、急诊、五官科、全科等</w:t>
            </w:r>
            <w:r>
              <w:rPr>
                <w:rFonts w:ascii="宋体" w:hAnsi="宋体" w:eastAsia="宋体" w:cs="宋体"/>
                <w:sz w:val="24"/>
              </w:rPr>
              <w:t>26个专科300多个</w:t>
            </w:r>
            <w:r>
              <w:rPr>
                <w:rFonts w:hint="eastAsia" w:ascii="宋体" w:hAnsi="宋体" w:eastAsia="宋体" w:cs="宋体"/>
                <w:sz w:val="24"/>
                <w:lang w:eastAsia="zh-CN"/>
              </w:rPr>
              <w:t>病种</w:t>
            </w:r>
            <w:r>
              <w:rPr>
                <w:rFonts w:hint="default" w:ascii="Times New Roman" w:hAnsi="Times New Roman" w:eastAsia="宋体" w:cs="Times New Roman"/>
                <w:b w:val="0"/>
                <w:bCs w:val="0"/>
                <w:color w:val="auto"/>
                <w:sz w:val="24"/>
                <w:szCs w:val="24"/>
                <w:lang w:val="en-US" w:eastAsia="zh-CN"/>
              </w:rPr>
              <w:t>病例</w:t>
            </w:r>
            <w:r>
              <w:rPr>
                <w:rFonts w:hint="eastAsia"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lang w:val="en-US" w:eastAsia="zh-CN"/>
              </w:rPr>
              <w:t>00套。</w:t>
            </w:r>
          </w:p>
        </w:tc>
      </w:tr>
      <w:tr w14:paraId="359619F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top w:val="nil"/>
              <w:left w:val="single" w:color="auto" w:sz="4" w:space="0"/>
              <w:right w:val="single" w:color="auto" w:sz="4" w:space="0"/>
            </w:tcBorders>
            <w:shd w:val="clear" w:color="auto" w:fill="FFFFFF"/>
            <w:tcMar>
              <w:top w:w="0" w:type="dxa"/>
              <w:left w:w="105" w:type="dxa"/>
              <w:bottom w:w="0" w:type="dxa"/>
              <w:right w:w="105" w:type="dxa"/>
            </w:tcMar>
            <w:vAlign w:val="center"/>
          </w:tcPr>
          <w:p w14:paraId="4BD95256">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临床思维考试</w:t>
            </w:r>
            <w:r>
              <w:rPr>
                <w:rFonts w:hint="default" w:ascii="Times New Roman" w:hAnsi="Times New Roman" w:eastAsia="宋体" w:cs="Times New Roman"/>
                <w:b w:val="0"/>
                <w:bCs w:val="0"/>
                <w:i w:val="0"/>
                <w:color w:val="auto"/>
                <w:kern w:val="0"/>
                <w:sz w:val="24"/>
                <w:szCs w:val="24"/>
                <w:u w:val="none"/>
                <w:lang w:val="en-US" w:eastAsia="zh-CN" w:bidi="ar-SA"/>
              </w:rPr>
              <w:t>管理</w:t>
            </w:r>
          </w:p>
        </w:tc>
        <w:tc>
          <w:tcPr>
            <w:tcW w:w="1863" w:type="dxa"/>
            <w:tcBorders>
              <w:top w:val="nil"/>
              <w:left w:val="single" w:color="auto" w:sz="4" w:space="0"/>
              <w:bottom w:val="single" w:color="auto" w:sz="6" w:space="0"/>
              <w:right w:val="single" w:color="auto" w:sz="6" w:space="0"/>
            </w:tcBorders>
            <w:shd w:val="clear" w:color="auto" w:fill="FFFFFF"/>
            <w:vAlign w:val="center"/>
          </w:tcPr>
          <w:p w14:paraId="73BFF1ED">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考试模式</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3FCA1D1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支持考试时间范围和限时设置，支持在考试时间范围内，任意考试限时时长内考试。</w:t>
            </w:r>
          </w:p>
        </w:tc>
      </w:tr>
      <w:tr w14:paraId="266D681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737534B">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35AD91C6">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考试成绩公布设置</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1DA2546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支持设置考试后成绩公布方式，如交卷后立即发布或管理员手动发布</w:t>
            </w:r>
            <w:r>
              <w:rPr>
                <w:rFonts w:hint="default" w:ascii="Times New Roman" w:hAnsi="Times New Roman" w:eastAsia="宋体" w:cs="Times New Roman"/>
                <w:b w:val="0"/>
                <w:bCs w:val="0"/>
                <w:color w:val="auto"/>
                <w:sz w:val="24"/>
                <w:szCs w:val="24"/>
                <w:lang w:eastAsia="zh-CN"/>
              </w:rPr>
              <w:t>。</w:t>
            </w:r>
          </w:p>
          <w:p w14:paraId="2CA8C96D">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可自定义设置考试及格线、优秀线。</w:t>
            </w:r>
          </w:p>
        </w:tc>
      </w:tr>
      <w:tr w14:paraId="120C2ED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62F650E6">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2F092CB9">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考试题目设置</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3CFAA508">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可设置多个案例作为考试题目，可为其中每个案例设置得分权重值。</w:t>
            </w:r>
          </w:p>
        </w:tc>
      </w:tr>
      <w:tr w14:paraId="25141A5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6425A59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0C070DAC">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考试成绩统计</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54088DA8">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i w:val="0"/>
                <w:color w:val="auto"/>
                <w:kern w:val="0"/>
                <w:sz w:val="24"/>
                <w:szCs w:val="24"/>
                <w:u w:val="none"/>
                <w:lang w:val="en-US" w:eastAsia="zh-CN" w:bidi="ar-SA"/>
              </w:rPr>
              <w:t>1）</w:t>
            </w:r>
            <w:r>
              <w:rPr>
                <w:rFonts w:hint="default" w:ascii="Times New Roman" w:hAnsi="Times New Roman" w:eastAsia="宋体" w:cs="Times New Roman"/>
                <w:b w:val="0"/>
                <w:bCs w:val="0"/>
                <w:color w:val="auto"/>
                <w:sz w:val="24"/>
                <w:szCs w:val="24"/>
              </w:rPr>
              <w:t>支持查看考生成绩列表，进行排行、搜索、筛选。</w:t>
            </w:r>
          </w:p>
          <w:p w14:paraId="6751FDEC">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交互式考生成绩单：显示考试病例名称、多病例权重后得分、排名；显示每个病例用时、得分，成绩包括问诊、体格检查、辅助检查、诊断、鉴别诊断以及治疗模块各部分得分及权重，并与各模块评分细则的加分、扣分图形化交互联动。支持详细显示考生所有诊疗项，并对每个诊疗项与参考答案对照批注。（</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298DAC3D">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AFF286C">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1B1B7704">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bookmarkStart w:id="30" w:name="_Hlk183032794"/>
            <w:r>
              <w:rPr>
                <w:rFonts w:hint="default" w:ascii="Times New Roman" w:hAnsi="Times New Roman" w:eastAsia="宋体" w:cs="Times New Roman"/>
                <w:b w:val="0"/>
                <w:bCs w:val="0"/>
                <w:color w:val="auto"/>
                <w:sz w:val="24"/>
                <w:szCs w:val="24"/>
              </w:rPr>
              <w:t>考试成绩分析</w:t>
            </w:r>
            <w:bookmarkEnd w:id="30"/>
          </w:p>
        </w:tc>
        <w:tc>
          <w:tcPr>
            <w:tcW w:w="6338" w:type="dxa"/>
            <w:tcBorders>
              <w:top w:val="nil"/>
              <w:left w:val="single" w:color="auto" w:sz="4" w:space="0"/>
              <w:bottom w:val="single" w:color="auto" w:sz="6" w:space="0"/>
              <w:right w:val="single" w:color="auto" w:sz="6" w:space="0"/>
            </w:tcBorders>
            <w:shd w:val="clear" w:color="auto" w:fill="FFFFFF"/>
            <w:vAlign w:val="center"/>
          </w:tcPr>
          <w:p w14:paraId="41D2E36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i w:val="0"/>
                <w:color w:val="auto"/>
                <w:kern w:val="0"/>
                <w:sz w:val="24"/>
                <w:szCs w:val="24"/>
                <w:u w:val="none"/>
                <w:lang w:val="en-US" w:eastAsia="zh-CN" w:bidi="ar-SA"/>
              </w:rPr>
              <w:t>1）</w:t>
            </w:r>
            <w:r>
              <w:rPr>
                <w:rFonts w:hint="default" w:ascii="Times New Roman" w:hAnsi="Times New Roman" w:eastAsia="宋体" w:cs="Times New Roman"/>
                <w:b w:val="0"/>
                <w:bCs w:val="0"/>
                <w:color w:val="auto"/>
                <w:sz w:val="24"/>
                <w:szCs w:val="24"/>
              </w:rPr>
              <w:t>支持查看考生总人数、有效成绩人数、平均分、及格率、平均用时查询。</w:t>
            </w:r>
          </w:p>
          <w:p w14:paraId="0363192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支持按部门筛选、查看每个考题的得分柱状图。</w:t>
            </w:r>
          </w:p>
          <w:p w14:paraId="64722165">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支持按部门筛选、查看成绩分布，显示分数段人数分布柱状图。</w:t>
            </w:r>
          </w:p>
          <w:p w14:paraId="496EF019">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支持错误率排行：支持从问诊、体格检查、辅助检查、诊断、鉴别诊断、治疗多个维度进行分析；可分析每个子项目错误人数、总人数与错误率，支持错误率top5/top10进行排行。（</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1B9EE00E">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10AD285B">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理论考试</w:t>
            </w:r>
            <w:r>
              <w:rPr>
                <w:rFonts w:hint="default" w:ascii="Times New Roman" w:hAnsi="Times New Roman" w:eastAsia="宋体" w:cs="Times New Roman"/>
                <w:b w:val="0"/>
                <w:bCs w:val="0"/>
                <w:color w:val="auto"/>
                <w:sz w:val="24"/>
                <w:szCs w:val="24"/>
                <w:lang w:val="en-US" w:eastAsia="zh-CN"/>
              </w:rPr>
              <w:t>管理</w:t>
            </w:r>
          </w:p>
        </w:tc>
        <w:tc>
          <w:tcPr>
            <w:tcW w:w="1863" w:type="dxa"/>
            <w:tcBorders>
              <w:top w:val="nil"/>
              <w:left w:val="single" w:color="auto" w:sz="4" w:space="0"/>
              <w:bottom w:val="single" w:color="auto" w:sz="6" w:space="0"/>
              <w:right w:val="single" w:color="auto" w:sz="6" w:space="0"/>
            </w:tcBorders>
            <w:shd w:val="clear" w:color="auto" w:fill="FFFFFF"/>
            <w:vAlign w:val="center"/>
          </w:tcPr>
          <w:p w14:paraId="79649063">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题库管理</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155DC5E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试题分类包括考试题、练习题，分别用于学生考试与自主学习。</w:t>
            </w:r>
          </w:p>
          <w:p w14:paraId="306CC93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支持试题增、删、改、查，支持批量修改试题所属题库。</w:t>
            </w:r>
          </w:p>
          <w:p w14:paraId="29570A0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试题列表，可展示包括题干、三级学科分类、篇章节点、题型、历史错误率、难易度、试卷引用数等信息。</w:t>
            </w:r>
          </w:p>
          <w:p w14:paraId="43218936">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试题添加：支持添加题型至少包括A1、A2、A3、A4、B1、X和案例分析题等题型；支持为题干、选项、考点与答案解析添加图片、视频。</w:t>
            </w:r>
          </w:p>
          <w:p w14:paraId="65EE5CD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rPr>
              <w:t>支持自定义添加题库分类，支持题库分类查询、修改、编辑。</w:t>
            </w:r>
          </w:p>
          <w:p w14:paraId="7C5BB150">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6）</w:t>
            </w:r>
            <w:r>
              <w:rPr>
                <w:rFonts w:hint="default" w:ascii="Times New Roman" w:hAnsi="Times New Roman" w:eastAsia="宋体" w:cs="Times New Roman"/>
                <w:b w:val="0"/>
                <w:bCs w:val="0"/>
                <w:color w:val="auto"/>
                <w:sz w:val="24"/>
                <w:szCs w:val="24"/>
              </w:rPr>
              <w:t>试题审核：支持教师编辑案例提交审核入库，管理员可查看试题审核列表对试题进行审核、修正，审核通过后可录入系统题库。</w:t>
            </w:r>
          </w:p>
          <w:p w14:paraId="151445EF">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7）</w:t>
            </w:r>
            <w:r>
              <w:rPr>
                <w:rFonts w:hint="default" w:ascii="Times New Roman" w:hAnsi="Times New Roman" w:eastAsia="宋体" w:cs="Times New Roman"/>
                <w:b w:val="0"/>
                <w:bCs w:val="0"/>
                <w:color w:val="auto"/>
                <w:sz w:val="24"/>
                <w:szCs w:val="24"/>
              </w:rPr>
              <w:t>案例分析题：可设置答案选项为正确选项、关键选项、无关选项和错误选项，为适应题型多样性，支持设置≥10个答案选项；可在试卷组卷时设置正确选项得分点值。（</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099079D8">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8）</w:t>
            </w:r>
            <w:r>
              <w:rPr>
                <w:rFonts w:hint="default" w:ascii="Times New Roman" w:hAnsi="Times New Roman" w:eastAsia="宋体" w:cs="Times New Roman"/>
                <w:b w:val="0"/>
                <w:bCs w:val="0"/>
                <w:color w:val="auto"/>
                <w:sz w:val="24"/>
                <w:szCs w:val="24"/>
              </w:rPr>
              <w:t>支持模板下载，批量导入试题。</w:t>
            </w:r>
          </w:p>
        </w:tc>
      </w:tr>
      <w:tr w14:paraId="5A1F8A6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25B7FC32">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064ED118">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试卷管理</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2063150E">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支持试卷增、删、改、查，支持试卷预览。</w:t>
            </w:r>
          </w:p>
          <w:p w14:paraId="2F0D32D0">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支持试卷分类增、删、改、查，支持自定义添加试卷分类。</w:t>
            </w:r>
          </w:p>
          <w:p w14:paraId="128875EA">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支持固定组卷、随机组卷模式，支持试题库、指定试题范围进行抽题，抽取题目支持预览、删除，支持重新添加指定题目。</w:t>
            </w:r>
          </w:p>
          <w:p w14:paraId="3BB6D431">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多选题（X型）支持多种得分规则，至少包括“全对得分”，“部分得分，多选得0分”，“部分得分，多选减扣”三种规则。（</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10F782C3">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w:t>
            </w:r>
            <w:r>
              <w:rPr>
                <w:rFonts w:hint="default" w:ascii="Times New Roman" w:hAnsi="Times New Roman" w:eastAsia="宋体" w:cs="Times New Roman"/>
                <w:b w:val="0"/>
                <w:bCs w:val="0"/>
                <w:color w:val="auto"/>
                <w:sz w:val="24"/>
                <w:szCs w:val="24"/>
              </w:rPr>
              <w:t>支持同一试卷、同一题型设置不同分值。（</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76664C2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318229A6">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68A04936">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考试管理</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7282CB2F">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支持考试分类增、删、改、查，支持自定义添加考试分类。</w:t>
            </w:r>
          </w:p>
          <w:p w14:paraId="4B4A5954">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支持学生在</w:t>
            </w:r>
            <w:r>
              <w:rPr>
                <w:rFonts w:hint="default" w:ascii="Times New Roman" w:hAnsi="Times New Roman" w:eastAsia="宋体" w:cs="Times New Roman"/>
                <w:b w:val="0"/>
                <w:bCs w:val="0"/>
                <w:color w:val="auto"/>
                <w:sz w:val="24"/>
                <w:szCs w:val="24"/>
                <w:lang w:val="zh-TW"/>
              </w:rPr>
              <w:t>WEB浏览器、</w:t>
            </w:r>
            <w:r>
              <w:rPr>
                <w:rFonts w:hint="default" w:ascii="Times New Roman" w:hAnsi="Times New Roman" w:eastAsia="宋体" w:cs="Times New Roman"/>
                <w:b w:val="0"/>
                <w:bCs w:val="0"/>
                <w:color w:val="auto"/>
                <w:sz w:val="24"/>
                <w:szCs w:val="24"/>
              </w:rPr>
              <w:t>手机移动端APP</w:t>
            </w:r>
            <w:r>
              <w:rPr>
                <w:rFonts w:hint="default" w:ascii="Times New Roman" w:hAnsi="Times New Roman" w:eastAsia="宋体" w:cs="Times New Roman"/>
                <w:b w:val="0"/>
                <w:bCs w:val="0"/>
                <w:color w:val="auto"/>
                <w:sz w:val="24"/>
                <w:szCs w:val="24"/>
                <w:lang w:val="zh-TW"/>
              </w:rPr>
              <w:t>进行在线考试。</w:t>
            </w:r>
          </w:p>
        </w:tc>
      </w:tr>
      <w:tr w14:paraId="220F04D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0F4C0C95">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nil"/>
              <w:left w:val="single" w:color="auto" w:sz="4" w:space="0"/>
              <w:bottom w:val="single" w:color="auto" w:sz="6" w:space="0"/>
              <w:right w:val="single" w:color="auto" w:sz="6" w:space="0"/>
            </w:tcBorders>
            <w:shd w:val="clear" w:color="auto" w:fill="FFFFFF"/>
            <w:vAlign w:val="center"/>
          </w:tcPr>
          <w:p w14:paraId="6C3B35C8">
            <w:pPr>
              <w:keepNext w:val="0"/>
              <w:keepLines w:val="0"/>
              <w:pageBreakBefore w:val="0"/>
              <w:kinsoku/>
              <w:wordWrap/>
              <w:topLinePunct w:val="0"/>
              <w:autoSpaceDE/>
              <w:autoSpaceDN/>
              <w:bidi w:val="0"/>
              <w:snapToGrid/>
              <w:spacing w:line="360" w:lineRule="exact"/>
              <w:jc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单次考试统计</w:t>
            </w:r>
          </w:p>
        </w:tc>
        <w:tc>
          <w:tcPr>
            <w:tcW w:w="6338" w:type="dxa"/>
            <w:tcBorders>
              <w:top w:val="nil"/>
              <w:left w:val="single" w:color="auto" w:sz="4" w:space="0"/>
              <w:bottom w:val="single" w:color="auto" w:sz="6" w:space="0"/>
              <w:right w:val="single" w:color="auto" w:sz="6" w:space="0"/>
            </w:tcBorders>
            <w:shd w:val="clear" w:color="auto" w:fill="FFFFFF"/>
            <w:vAlign w:val="center"/>
          </w:tcPr>
          <w:p w14:paraId="24BE36BD">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支持包括最高分、平均分、平均用时、及格率、应考人数、实考人数、缺考人数等信息显示；支持合格率、优秀率、成绩区间的图形化展示。</w:t>
            </w:r>
          </w:p>
          <w:p w14:paraId="1805C14B">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支持单题答题分析：可显示试卷每一题的答对、答错和漏填人数和正确率；可详细查看每一个考生的选择选项、得分情况。（</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7E060EF8">
            <w:pPr>
              <w:keepNext w:val="0"/>
              <w:keepLines w:val="0"/>
              <w:pageBreakBefore w:val="0"/>
              <w:kinsoku/>
              <w:wordWrap/>
              <w:topLinePunct w:val="0"/>
              <w:autoSpaceDE/>
              <w:autoSpaceDN/>
              <w:bidi w:val="0"/>
              <w:snapToGrid/>
              <w:spacing w:line="360" w:lineRule="exact"/>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可查看试卷考生成绩排名，支持按成绩排序展示，支持按考生信息查询。</w:t>
            </w:r>
          </w:p>
        </w:tc>
      </w:tr>
      <w:tr w14:paraId="19A924A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tcBorders>
              <w:top w:val="nil"/>
              <w:left w:val="single" w:color="auto" w:sz="4" w:space="0"/>
              <w:right w:val="single" w:color="auto" w:sz="4" w:space="0"/>
            </w:tcBorders>
            <w:shd w:val="clear" w:color="auto" w:fill="FFFFFF"/>
            <w:tcMar>
              <w:top w:w="0" w:type="dxa"/>
              <w:left w:w="105" w:type="dxa"/>
              <w:bottom w:w="0" w:type="dxa"/>
              <w:right w:w="105" w:type="dxa"/>
            </w:tcMar>
            <w:vAlign w:val="center"/>
          </w:tcPr>
          <w:p w14:paraId="0F5BB01C">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资源库管理</w:t>
            </w:r>
          </w:p>
        </w:tc>
        <w:tc>
          <w:tcPr>
            <w:tcW w:w="1863" w:type="dxa"/>
            <w:tcBorders>
              <w:top w:val="nil"/>
              <w:left w:val="single" w:color="auto" w:sz="4" w:space="0"/>
              <w:bottom w:val="single" w:color="auto" w:sz="4" w:space="0"/>
              <w:right w:val="single" w:color="auto" w:sz="6" w:space="0"/>
            </w:tcBorders>
            <w:shd w:val="clear" w:color="auto" w:fill="FFFFFF"/>
            <w:vAlign w:val="center"/>
          </w:tcPr>
          <w:p w14:paraId="14735200">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资源上传</w:t>
            </w:r>
          </w:p>
        </w:tc>
        <w:tc>
          <w:tcPr>
            <w:tcW w:w="6338" w:type="dxa"/>
            <w:tcBorders>
              <w:top w:val="nil"/>
              <w:left w:val="single" w:color="auto" w:sz="4" w:space="0"/>
              <w:bottom w:val="single" w:color="auto" w:sz="4" w:space="0"/>
              <w:right w:val="single" w:color="auto" w:sz="6" w:space="0"/>
            </w:tcBorders>
            <w:shd w:val="clear" w:color="auto" w:fill="FFFFFF"/>
            <w:vAlign w:val="center"/>
          </w:tcPr>
          <w:p w14:paraId="65E0F31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支持资源库资源上传、删除、编辑、查询、预览；支持按资源类型筛选，按引用次数排序。</w:t>
            </w:r>
          </w:p>
          <w:p w14:paraId="31C34D82">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支持上传图片、视频、音频、PDF等格式课件资源。</w:t>
            </w:r>
          </w:p>
          <w:p w14:paraId="0E2FA060">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具备个人资源库与公共资源库，支持资源批量下载、批量删除；支持个人资源库资源批量转入公共资源库共享。</w:t>
            </w:r>
          </w:p>
          <w:p w14:paraId="6B595D97">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支持自定义添加资源分类，支持资源分类编辑、删除。</w:t>
            </w:r>
          </w:p>
        </w:tc>
      </w:tr>
      <w:tr w14:paraId="478C661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1586B997">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自主学习管理</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820EBD3">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在线练习</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684C8AA8">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支持在线刷题练习，结束后可展示本次练习正确率、练习时长、练习题数、错题数等信息。</w:t>
            </w:r>
          </w:p>
        </w:tc>
      </w:tr>
      <w:tr w14:paraId="2B2BA48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2CBC5819">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9087B96">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错题集</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230A480D">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支持错题集功能，支持将题目收录错题集，支持自定义新建错题集名称。</w:t>
            </w:r>
          </w:p>
        </w:tc>
      </w:tr>
      <w:tr w14:paraId="77ED242F">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0E04CA51">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0A64F763">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自定义学习</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6C9DCF58">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可根据需要自定义栏目、分类进行自主学习课程的展示，可为课程配置个性化封面。</w:t>
            </w:r>
          </w:p>
        </w:tc>
      </w:tr>
      <w:tr w14:paraId="6BC52F4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5E79F25">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5D54246D">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课程安排</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17A9E86">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支持课程上架、下架管理；支持按课节数、状态、播放次数、评价次数、创建时间等进行排序。</w:t>
            </w:r>
          </w:p>
        </w:tc>
      </w:tr>
      <w:tr w14:paraId="4E61E43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41BE3745">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37EA68C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课程评价</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0BD7F0D">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可查看用户对课程的评价信息，可查看用户的学习记录，学习记录支持按最近学习时间、本次时长和总时长进行排序。</w:t>
            </w:r>
          </w:p>
        </w:tc>
      </w:tr>
      <w:tr w14:paraId="744AE41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462E9142">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2D0C032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课程查询</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6DF5C7D7">
            <w:pPr>
              <w:pStyle w:val="4"/>
              <w:keepNext w:val="0"/>
              <w:keepLines w:val="0"/>
              <w:pageBreakBefore w:val="0"/>
              <w:kinsoku/>
              <w:wordWrap/>
              <w:overflowPunct w:val="0"/>
              <w:topLinePunct w:val="0"/>
              <w:autoSpaceDE/>
              <w:autoSpaceDN/>
              <w:bidi w:val="0"/>
              <w:adjustRightInd w:val="0"/>
              <w:snapToGrid/>
              <w:spacing w:line="360" w:lineRule="exact"/>
              <w:ind w:left="0" w:leftChars="0" w:firstLine="0" w:firstLineChars="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支持按栏目、课程创建时间或输入关键词查找课程。</w:t>
            </w:r>
          </w:p>
        </w:tc>
      </w:tr>
      <w:tr w14:paraId="3178DC4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01866E1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77DEADF">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系列课程设置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5C7E0004">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同一课程下可分建多节课程，关联不同课件资源，学生端以系列课的形式查看、学习课程更加方便。</w:t>
            </w:r>
          </w:p>
        </w:tc>
      </w:tr>
      <w:tr w14:paraId="7B8669F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4481A1E6">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53F081B7">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学习统计</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7D01BF3D">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zh-TW" w:eastAsia="zh-TW"/>
              </w:rPr>
              <w:t>支持</w:t>
            </w:r>
            <w:r>
              <w:rPr>
                <w:rFonts w:hint="default" w:ascii="Times New Roman" w:hAnsi="Times New Roman" w:eastAsia="宋体" w:cs="Times New Roman"/>
                <w:b w:val="0"/>
                <w:bCs w:val="0"/>
                <w:color w:val="auto"/>
                <w:sz w:val="24"/>
                <w:szCs w:val="24"/>
              </w:rPr>
              <w:t>WEB浏览器、手机移动端APP</w:t>
            </w:r>
            <w:r>
              <w:rPr>
                <w:rFonts w:hint="default" w:ascii="Times New Roman" w:hAnsi="Times New Roman" w:eastAsia="宋体" w:cs="Times New Roman"/>
                <w:b w:val="0"/>
                <w:bCs w:val="0"/>
                <w:color w:val="auto"/>
                <w:sz w:val="24"/>
                <w:szCs w:val="24"/>
                <w:lang w:val="zh-TW" w:eastAsia="zh-TW"/>
              </w:rPr>
              <w:t>学生本人学习时长与本机构排名展示，支持机构所有学生的学习时长及排名展示；学习时长支持按日、周、月进行柱状图展示，支持周、月度学习时长对照值。（</w:t>
            </w:r>
            <w:r>
              <w:rPr>
                <w:rFonts w:hint="default" w:ascii="Times New Roman" w:hAnsi="Times New Roman" w:eastAsia="宋体" w:cs="Times New Roman"/>
                <w:b w:val="0"/>
                <w:bCs w:val="0"/>
                <w:color w:val="auto"/>
                <w:sz w:val="24"/>
                <w:szCs w:val="24"/>
                <w:lang w:val="zh-TW" w:eastAsia="zh-CN"/>
              </w:rPr>
              <w:t>提供截图并标注功能说明</w:t>
            </w:r>
            <w:r>
              <w:rPr>
                <w:rFonts w:hint="default" w:ascii="Times New Roman" w:hAnsi="Times New Roman" w:eastAsia="宋体" w:cs="Times New Roman"/>
                <w:b w:val="0"/>
                <w:bCs w:val="0"/>
                <w:color w:val="auto"/>
                <w:sz w:val="24"/>
                <w:szCs w:val="24"/>
                <w:lang w:val="zh-TW" w:eastAsia="zh-TW"/>
              </w:rPr>
              <w:t>）</w:t>
            </w:r>
          </w:p>
        </w:tc>
      </w:tr>
      <w:tr w14:paraId="35E24E8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1CF6210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日程管理</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48290F7">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日程设置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72640ABC">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以日历形式（包括WEB浏览器、手机移动端APP）展示学生考试日程事项；支持自定义添加个人事项，支持起始-结束时间、全天两种模式；支持快速跳转查看日程事项详情。（</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7FB8CF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37A8EAE">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935D5B8">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日程提醒</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134C2A22">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支持日程提醒功能，使学生能快速知晓日程事项。</w:t>
            </w:r>
          </w:p>
        </w:tc>
      </w:tr>
      <w:tr w14:paraId="03BDFC5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4CD9B7F7">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消息管理</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24E7AD52">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消息发送设置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114603E6">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管理员可以创建通知公告，进行发布。发送对象包括学生、教职工等，支持按群组/所有人发送信息，相关人员可在WEB浏览器、手机移动端APP收到相关消息通知。</w:t>
            </w:r>
          </w:p>
        </w:tc>
      </w:tr>
      <w:tr w14:paraId="0FD8649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2A40D32E">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5332D89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消息发送发送模式</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2BE512A6">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可设置即时发送和定时发送2种模式。</w:t>
            </w:r>
          </w:p>
        </w:tc>
      </w:tr>
      <w:tr w14:paraId="732772D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0FDD8EB8">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255FBBEE">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消息中心</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3C90399">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具备消息中心，支持消息批量收藏、已读、删除设置。</w:t>
            </w:r>
          </w:p>
        </w:tc>
      </w:tr>
      <w:tr w14:paraId="28B7F8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5CA3BAE6">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人员管理</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3A3DC470">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学生管理</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4EAA2E5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支持自由添加任意层级的学生部门，并提供部门编辑、删除、排序。</w:t>
            </w:r>
          </w:p>
          <w:p w14:paraId="345F71FD">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支持新增、删除、编辑、查询，支持批量导入学生；支持按部门树结构任一结点进行快速筛选。</w:t>
            </w:r>
          </w:p>
          <w:p w14:paraId="6FFBE8C1">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支持批量修改学生归属部门，支持批量删除学生。</w:t>
            </w:r>
          </w:p>
          <w:p w14:paraId="0E3D45B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eastAsia"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w:t>
            </w:r>
            <w:r>
              <w:rPr>
                <w:rFonts w:ascii="宋体" w:hAnsi="宋体" w:eastAsia="宋体" w:cs="宋体"/>
                <w:sz w:val="24"/>
              </w:rPr>
              <w:t>开放充足</w:t>
            </w:r>
            <w:r>
              <w:rPr>
                <w:rFonts w:hint="eastAsia" w:ascii="宋体" w:hAnsi="宋体" w:eastAsia="宋体" w:cs="宋体"/>
                <w:sz w:val="24"/>
                <w:lang w:eastAsia="zh-CN"/>
              </w:rPr>
              <w:t>的</w:t>
            </w:r>
            <w:r>
              <w:rPr>
                <w:rFonts w:ascii="宋体" w:hAnsi="宋体" w:eastAsia="宋体" w:cs="宋体"/>
                <w:sz w:val="24"/>
              </w:rPr>
              <w:t>学生和教师使用账号，数量不受限制，任何时间和地点均可通过网络访问。</w:t>
            </w:r>
          </w:p>
        </w:tc>
      </w:tr>
      <w:tr w14:paraId="65FFD5D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10EDCE35">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0F6A0D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教职工管理</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EFB9189">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支持自由添加任意层级的教职工部门，并提供部门编辑、删除、排序。</w:t>
            </w:r>
          </w:p>
          <w:p w14:paraId="4DE8FFA9">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支持新增、删除、编辑、查询，支持批量导入教职工；支持按部门树结构任一结点进行快速筛选。</w:t>
            </w:r>
          </w:p>
          <w:p w14:paraId="17E5AA42">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支持批量修改教职工归属部门，支持批量删除教职工。</w:t>
            </w:r>
          </w:p>
        </w:tc>
      </w:tr>
      <w:tr w14:paraId="4191165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F54A06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2C7B3766">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角色管理</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4019D69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支持角色查询、编辑、删除。</w:t>
            </w:r>
          </w:p>
          <w:p w14:paraId="25714701">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w:t>
            </w:r>
            <w:r>
              <w:rPr>
                <w:rFonts w:hint="default" w:ascii="Times New Roman" w:hAnsi="Times New Roman" w:eastAsia="宋体" w:cs="Times New Roman"/>
                <w:b w:val="0"/>
                <w:bCs w:val="0"/>
                <w:color w:val="auto"/>
                <w:sz w:val="24"/>
                <w:szCs w:val="24"/>
              </w:rPr>
              <w:t>支持自定义添加角色，可设置角色系统菜单权限，不同权限显示不同系统菜单。</w:t>
            </w:r>
          </w:p>
          <w:p w14:paraId="7E50BD43">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3）</w:t>
            </w:r>
            <w:r>
              <w:rPr>
                <w:rFonts w:hint="default" w:ascii="Times New Roman" w:hAnsi="Times New Roman" w:eastAsia="宋体" w:cs="Times New Roman"/>
                <w:b w:val="0"/>
                <w:bCs w:val="0"/>
                <w:color w:val="auto"/>
                <w:sz w:val="24"/>
                <w:szCs w:val="24"/>
              </w:rPr>
              <w:t>支持教职工多角色选择，符合实际工作角色需要。</w:t>
            </w:r>
          </w:p>
          <w:p w14:paraId="61290264">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rPr>
              <w:t>必须支持用户的数据查看范围权限，查看数据范围设置包括所有数据、仅本人数据、所在部门数据（不含子部门）、所在部门子部门数据、所在部门及子部门数据、同级部门数据（不包含子部门）、同级部门及所有子部门数据、所在部门顶级部门下所有数据。（</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3D1DEFA4">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5）角色</w:t>
            </w:r>
            <w:r>
              <w:rPr>
                <w:rFonts w:hint="default" w:ascii="Times New Roman" w:hAnsi="Times New Roman" w:eastAsia="宋体" w:cs="Times New Roman"/>
                <w:b w:val="0"/>
                <w:bCs w:val="0"/>
                <w:color w:val="auto"/>
                <w:sz w:val="24"/>
                <w:szCs w:val="24"/>
              </w:rPr>
              <w:t>分组管理</w:t>
            </w:r>
            <w:r>
              <w:rPr>
                <w:rFonts w:hint="default" w:ascii="Times New Roman" w:hAnsi="Times New Roman" w:eastAsia="宋体" w:cs="Times New Roman"/>
                <w:b w:val="0"/>
                <w:bCs w:val="0"/>
                <w:color w:val="auto"/>
                <w:sz w:val="24"/>
                <w:szCs w:val="24"/>
                <w:lang w:val="en-US" w:eastAsia="zh-CN"/>
              </w:rPr>
              <w:t>应具备以下功能：</w:t>
            </w:r>
          </w:p>
          <w:p w14:paraId="5CD8B453">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①</w:t>
            </w:r>
            <w:r>
              <w:rPr>
                <w:rFonts w:hint="default" w:ascii="Times New Roman" w:hAnsi="Times New Roman" w:eastAsia="宋体" w:cs="Times New Roman"/>
                <w:b w:val="0"/>
                <w:bCs w:val="0"/>
                <w:color w:val="auto"/>
                <w:sz w:val="24"/>
                <w:szCs w:val="24"/>
              </w:rPr>
              <w:t>分组类型包括：学生分组、教职工分组、公共分组、我的分组；支持以上类型分组的增、删、改、查。（</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09C946C1">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②</w:t>
            </w:r>
            <w:r>
              <w:rPr>
                <w:rFonts w:hint="default" w:ascii="Times New Roman" w:hAnsi="Times New Roman" w:eastAsia="宋体" w:cs="Times New Roman"/>
                <w:b w:val="0"/>
                <w:bCs w:val="0"/>
                <w:color w:val="auto"/>
                <w:sz w:val="24"/>
                <w:szCs w:val="24"/>
              </w:rPr>
              <w:t>支持组内学生的查询、批量添加、批量移除。</w:t>
            </w:r>
          </w:p>
        </w:tc>
      </w:tr>
      <w:tr w14:paraId="7B2BFAD8">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0D1FB3D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教师移动端功能</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3B32E59">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新建考试</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4DD1B419">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支持新建考试，设置考试名称、分类、开始时间、结束时间、考试模式、限时时长、试卷、考生等考试信息；支持查看考试列表，包括未开始及进行中的考试；支持跨题型可否回看、小题可否回看设置。（</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51C1522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4E99EF8C">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C418E3F">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考试统计</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65A20169">
            <w:pPr>
              <w:pStyle w:val="4"/>
              <w:keepNext w:val="0"/>
              <w:keepLines w:val="0"/>
              <w:pageBreakBefore w:val="0"/>
              <w:kinsoku/>
              <w:wordWrap/>
              <w:overflowPunct w:val="0"/>
              <w:topLinePunct w:val="0"/>
              <w:autoSpaceDE/>
              <w:autoSpaceDN/>
              <w:bidi w:val="0"/>
              <w:adjustRightInd w:val="0"/>
              <w:snapToGrid/>
              <w:spacing w:line="360" w:lineRule="exact"/>
              <w:ind w:left="0" w:leftChars="0" w:firstLine="0" w:firstLineChars="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支持考试统计，支持查看考试最高分、平均分、平均用时以及考生成绩表显示；支持及格率、优秀率、缺考率、成绩区间的图形化展示；支持试题分析：可显示试卷每一题题目及正确答案，答对、答错和漏填人数和正确率，每一选项的选择人数并以图形化展示。（</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p w14:paraId="75F6A5EE">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r>
      <w:tr w14:paraId="290B0FD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64D779DD">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学生移动端功能</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8C86209">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在线练习</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6B2F7A0">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支持移动端理论试题练习&amp;考核、临床思维案例练习&amp;考核、视频学习。（</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0FCB9BF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386DD8B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152D888">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记录查询</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54FA51F7">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支持考试记录查询，包括考试列表查看、单次考试名称、得分、是否合格、考试用时等信息。</w:t>
            </w:r>
          </w:p>
        </w:tc>
      </w:tr>
      <w:tr w14:paraId="70AAC3B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restart"/>
            <w:tcBorders>
              <w:left w:val="single" w:color="auto" w:sz="4" w:space="0"/>
              <w:right w:val="single" w:color="auto" w:sz="4" w:space="0"/>
            </w:tcBorders>
            <w:shd w:val="clear" w:color="auto" w:fill="FFFFFF"/>
            <w:tcMar>
              <w:top w:w="0" w:type="dxa"/>
              <w:left w:w="105" w:type="dxa"/>
              <w:bottom w:w="0" w:type="dxa"/>
              <w:right w:w="105" w:type="dxa"/>
            </w:tcMar>
            <w:vAlign w:val="center"/>
          </w:tcPr>
          <w:p w14:paraId="75FB424C">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病例编辑</w:t>
            </w:r>
            <w:r>
              <w:rPr>
                <w:rFonts w:hint="default" w:ascii="Times New Roman" w:hAnsi="Times New Roman" w:eastAsia="宋体" w:cs="Times New Roman"/>
                <w:b w:val="0"/>
                <w:bCs w:val="0"/>
                <w:color w:val="auto"/>
                <w:sz w:val="24"/>
                <w:szCs w:val="24"/>
                <w:lang w:val="en-US" w:eastAsia="zh-CN"/>
              </w:rPr>
              <w:t>管理</w:t>
            </w: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4251915">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案例编辑</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7B2A81D8">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要求具备病例编辑系统，用户可以自行通过系统编辑病例使用。对系统病例，具备一键“复制另存”功能，可直接复制病例所有设置，并可进行编辑、另存。（</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5E7ADE23">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46BA0E89">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23343A56">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3D虚拟病人建模选择</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72D90EDD">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支持选择符合案例基本信息的虚拟3D病人形象用于案例诊疗，系统自带≥10个虚拟3D病人形象；涵盖青年（男性、女性）、中年（男性、女性）、老年（男性、女性）、儿童及婴儿。（</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68EA85B1">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5D7A2072">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171AB52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病例信息录入</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434DCE5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可添加患者基本信息，包括姓名、年龄、性别、通讯地址等信息，填写信息可与系统案例自动关联，问诊时虚拟病人自动回答以上对应信息。</w:t>
            </w:r>
          </w:p>
        </w:tc>
      </w:tr>
      <w:tr w14:paraId="76ECF79C">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7B5381FD">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0462790C">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交互方式设置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25B1EA86">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案例支持选择自然语言交互的“语义识别交互”和传统“选择交互”模式；支持设置“主诉人”，可选择案例主诉人为患者“本人”、“患者父亲”、“患者母亲”、“患者儿子”、“患者女儿”等不同问诊对象。（</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78F9F57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48143BED">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7FB40A8F">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问诊分类编辑设置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2D12AE44">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问诊分类包括一般项目、主诉、现病史、既往史、婚姻史、家族史，可自动根据虚拟病人性别，显示/隐藏生育史问诊编辑。</w:t>
            </w:r>
          </w:p>
        </w:tc>
      </w:tr>
      <w:tr w14:paraId="3ED1C515">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147B942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0541E035">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体格检查编辑设置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09BBE8C2">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体格检查设置为得分项、禁忌项；检查结果支持自动反馈、问答选择两种模式，支支持添加包括但不限于A1、A2、X型题；可上传图片、音频、视频作为检查结果；支持体格检查项目显示/隐藏设置功能，用于在学员端是否显示该检查项目。（</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6B224F89">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3A53D933">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06E36B1E">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辅助检查编辑设置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5277D77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辅助检查设置为得分项、禁忌项；检查结果支持自动反馈、问答选择两种模式，支支持添加包括但不限于A1、A2、X型题；可上传图片、音频、视频作为检查结果；支持辅助项目显示/隐藏设置功能，用于在学员端是否显示该检查项目；系统内置检验报告编辑器，可自定义编辑检验项报告结果值。（</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28C65134">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5C86480C">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BCBFE4B">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批量设置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74ACC34B">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支持将体格检查、辅助检查、治疗项目设置为禁忌项，支持批量选择、删除。</w:t>
            </w:r>
          </w:p>
        </w:tc>
      </w:tr>
      <w:tr w14:paraId="7A69A65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165D690B">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59E7766D">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诊断疾病库设置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1B6E7547">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疾病库：内置ICD-10、ICD-11疾病库供选择，疾病信息包括但不限于疾病层级、疾病描述、疾病编码，后组配信息包括但不限于致因属性、侧性、具体解剖部位、具体表现等；支持案例编辑时ICD-10、ICD-11疾病库切换功能。（</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6EB0544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56F5A3A1">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2CD197C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诊断依据编辑</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BE94912">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支持从疾病库选择添加诊断疾病名称，可根据问诊、体格检查、辅助检查进行诊断依据、排除理由设置</w:t>
            </w:r>
            <w:bookmarkStart w:id="31" w:name="_Hlk143811220"/>
            <w:r>
              <w:rPr>
                <w:rFonts w:hint="default" w:ascii="Times New Roman" w:hAnsi="Times New Roman" w:eastAsia="宋体" w:cs="Times New Roman"/>
                <w:b w:val="0"/>
                <w:bCs w:val="0"/>
                <w:color w:val="auto"/>
                <w:sz w:val="24"/>
                <w:szCs w:val="24"/>
              </w:rPr>
              <w:t>，可设置满分鉴别诊断数量值。</w:t>
            </w:r>
            <w:bookmarkEnd w:id="31"/>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692B8F92">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2D4ACD2A">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3BD6ECFC">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药物治疗方案编辑设置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41FFC2DC">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支持≥3个药物分组，每组支持≥3个药物，支持设置每组任选数量设置，满足药物组合治疗方案，如三联药物必须选择全部药物方可得分；支持案例编辑药品分类、药品名称选择切换功能。（</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1316D996">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6B46EDD1">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41058E60">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案例评分设置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0FECC319">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支持为问诊、体格检查、辅助检查、诊断、鉴别诊断、治疗分类中每一必要项设置不同的分值，支持批量分值设置，包括平均分配分值、批量设置相同分值；支持为非必要项、禁忌项分别进行扣分规则设置，可按数量设置每项减分值，可分段（不少于4段，4个区间）设置减分值。（</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0C89C92B">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right w:val="single" w:color="auto" w:sz="4" w:space="0"/>
            </w:tcBorders>
            <w:shd w:val="clear" w:color="auto" w:fill="FFFFFF"/>
            <w:tcMar>
              <w:top w:w="0" w:type="dxa"/>
              <w:left w:w="105" w:type="dxa"/>
              <w:bottom w:w="0" w:type="dxa"/>
              <w:right w:w="105" w:type="dxa"/>
            </w:tcMar>
            <w:vAlign w:val="center"/>
          </w:tcPr>
          <w:p w14:paraId="3F41F225">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6EF52BA4">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案例模式设置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2C882550">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color w:val="auto"/>
                <w:sz w:val="24"/>
                <w:szCs w:val="24"/>
              </w:rPr>
              <w:t>具备“机构案例”、“我的案例”模式，教师可提交机构案例，管理员具备审批权限，可对申请案例进行审核，审核通过后可收录“机构案例”，并可查看申请记录；可设置案例开放模式，包括所有学员开放、按部门选择开放等模式。（</w:t>
            </w:r>
            <w:r>
              <w:rPr>
                <w:rFonts w:hint="default" w:ascii="Times New Roman" w:hAnsi="Times New Roman" w:eastAsia="宋体" w:cs="Times New Roman"/>
                <w:b w:val="0"/>
                <w:bCs w:val="0"/>
                <w:color w:val="auto"/>
                <w:sz w:val="24"/>
                <w:szCs w:val="24"/>
                <w:lang w:eastAsia="zh-CN"/>
              </w:rPr>
              <w:t>提供截图并标注功能说明</w:t>
            </w:r>
            <w:r>
              <w:rPr>
                <w:rFonts w:hint="default" w:ascii="Times New Roman" w:hAnsi="Times New Roman" w:eastAsia="宋体" w:cs="Times New Roman"/>
                <w:b w:val="0"/>
                <w:bCs w:val="0"/>
                <w:color w:val="auto"/>
                <w:sz w:val="24"/>
                <w:szCs w:val="24"/>
              </w:rPr>
              <w:t>）</w:t>
            </w:r>
          </w:p>
        </w:tc>
      </w:tr>
      <w:tr w14:paraId="281BD60A">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15" w:type="dxa"/>
            <w:left w:w="15" w:type="dxa"/>
            <w:bottom w:w="15" w:type="dxa"/>
            <w:right w:w="15" w:type="dxa"/>
          </w:tblCellMar>
        </w:tblPrEx>
        <w:trPr>
          <w:trHeight w:val="571" w:hRule="atLeast"/>
          <w:jc w:val="center"/>
        </w:trPr>
        <w:tc>
          <w:tcPr>
            <w:tcW w:w="831" w:type="dxa"/>
            <w:vMerge w:val="continue"/>
            <w:tcBorders>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C082490">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p>
        </w:tc>
        <w:tc>
          <w:tcPr>
            <w:tcW w:w="1863" w:type="dxa"/>
            <w:tcBorders>
              <w:top w:val="single" w:color="auto" w:sz="4" w:space="0"/>
              <w:left w:val="single" w:color="auto" w:sz="4" w:space="0"/>
              <w:bottom w:val="single" w:color="auto" w:sz="4" w:space="0"/>
              <w:right w:val="single" w:color="auto" w:sz="6" w:space="0"/>
            </w:tcBorders>
            <w:shd w:val="clear" w:color="auto" w:fill="FFFFFF"/>
            <w:vAlign w:val="center"/>
          </w:tcPr>
          <w:p w14:paraId="0E7BB697">
            <w:pPr>
              <w:keepNext w:val="0"/>
              <w:keepLines w:val="0"/>
              <w:pageBreakBefore w:val="0"/>
              <w:widowControl/>
              <w:kinsoku/>
              <w:wordWrap/>
              <w:topLinePunct w:val="0"/>
              <w:autoSpaceDE/>
              <w:autoSpaceDN/>
              <w:bidi w:val="0"/>
              <w:snapToGrid/>
              <w:spacing w:line="360" w:lineRule="exact"/>
              <w:jc w:val="center"/>
              <w:textAlignment w:val="center"/>
              <w:rPr>
                <w:rFonts w:hint="default" w:ascii="Times New Roman" w:hAnsi="Times New Roman" w:eastAsia="宋体" w:cs="Times New Roman"/>
                <w:b w:val="0"/>
                <w:bCs w:val="0"/>
                <w:i w:val="0"/>
                <w:color w:val="auto"/>
                <w:kern w:val="0"/>
                <w:sz w:val="24"/>
                <w:szCs w:val="24"/>
                <w:u w:val="none"/>
                <w:lang w:val="en-US" w:eastAsia="zh-CN" w:bidi="ar-SA"/>
              </w:rPr>
            </w:pPr>
            <w:r>
              <w:rPr>
                <w:rFonts w:hint="default" w:ascii="Times New Roman" w:hAnsi="Times New Roman" w:eastAsia="宋体" w:cs="Times New Roman"/>
                <w:b w:val="0"/>
                <w:bCs w:val="0"/>
                <w:i w:val="0"/>
                <w:color w:val="auto"/>
                <w:kern w:val="0"/>
                <w:sz w:val="24"/>
                <w:szCs w:val="24"/>
                <w:u w:val="none"/>
                <w:lang w:val="en-US" w:eastAsia="zh-CN" w:bidi="ar-SA"/>
              </w:rPr>
              <w:t>AI助教编辑设置</w:t>
            </w:r>
          </w:p>
        </w:tc>
        <w:tc>
          <w:tcPr>
            <w:tcW w:w="6338" w:type="dxa"/>
            <w:tcBorders>
              <w:top w:val="single" w:color="auto" w:sz="4" w:space="0"/>
              <w:left w:val="single" w:color="auto" w:sz="4" w:space="0"/>
              <w:bottom w:val="single" w:color="auto" w:sz="4" w:space="0"/>
              <w:right w:val="single" w:color="auto" w:sz="4" w:space="0"/>
            </w:tcBorders>
            <w:shd w:val="clear" w:color="auto" w:fill="FFFFFF"/>
            <w:vAlign w:val="center"/>
          </w:tcPr>
          <w:p w14:paraId="3C49DDBF">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rPr>
              <w:t>病史采集AI评价</w:t>
            </w:r>
            <w:r>
              <w:rPr>
                <w:rFonts w:hint="default" w:ascii="Times New Roman" w:hAnsi="Times New Roman" w:eastAsia="宋体" w:cs="Times New Roman"/>
                <w:b w:val="0"/>
                <w:bCs w:val="0"/>
                <w:color w:val="auto"/>
                <w:sz w:val="24"/>
                <w:szCs w:val="24"/>
                <w:lang w:val="en-US" w:eastAsia="zh-CN"/>
              </w:rPr>
              <w:t>应具备以下方面</w:t>
            </w:r>
            <w:r>
              <w:rPr>
                <w:rFonts w:hint="default" w:ascii="Times New Roman" w:hAnsi="Times New Roman" w:eastAsia="宋体" w:cs="Times New Roman"/>
                <w:b w:val="0"/>
                <w:bCs w:val="0"/>
                <w:color w:val="auto"/>
                <w:sz w:val="24"/>
                <w:szCs w:val="24"/>
                <w:lang w:eastAsia="zh-CN"/>
              </w:rPr>
              <w:t>：</w:t>
            </w:r>
          </w:p>
          <w:p w14:paraId="696D05F4">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①沟通技巧：自我介绍、病史采集完整度、提问条理性、遵循从一般提问到直接提问原则、避免诱导-责难-连续提问、避免医学术语、归纳小结、引证核实、结束语</w:t>
            </w:r>
          </w:p>
          <w:p w14:paraId="768CC91D">
            <w:pPr>
              <w:keepNext w:val="0"/>
              <w:keepLines w:val="0"/>
              <w:pageBreakBefore w:val="0"/>
              <w:widowControl/>
              <w:kinsoku/>
              <w:wordWrap/>
              <w:topLinePunct w:val="0"/>
              <w:autoSpaceDE/>
              <w:autoSpaceDN/>
              <w:bidi w:val="0"/>
              <w:snapToGrid/>
              <w:spacing w:line="360" w:lineRule="exact"/>
              <w:jc w:val="left"/>
              <w:textAlignment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②人文关怀：表达情绪理解与同理心、鼓励与赞扬、关切疾病的影响-关心支持和帮助的来源、关心患者就诊期望与需求</w:t>
            </w:r>
          </w:p>
        </w:tc>
      </w:tr>
    </w:tbl>
    <w:p w14:paraId="7A5DFA71">
      <w:pPr>
        <w:pStyle w:val="4"/>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0E8BC555">
      <w:pPr>
        <w:keepNext w:val="0"/>
        <w:keepLines w:val="0"/>
        <w:pageBreakBefore w:val="0"/>
        <w:widowControl w:val="0"/>
        <w:kinsoku/>
        <w:wordWrap/>
        <w:overflowPunct w:val="0"/>
        <w:topLinePunct w:val="0"/>
        <w:autoSpaceDE/>
        <w:autoSpaceDN/>
        <w:bidi w:val="0"/>
        <w:adjustRightInd w:val="0"/>
        <w:snapToGrid/>
        <w:spacing w:line="400" w:lineRule="exact"/>
        <w:ind w:firstLine="480" w:firstLineChars="200"/>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w:t>
      </w:r>
      <w:r>
        <w:rPr>
          <w:rFonts w:hint="default" w:ascii="宋体" w:hAnsi="宋体" w:eastAsia="宋体" w:cs="Times New Roman"/>
          <w:color w:val="000000"/>
          <w:kern w:val="2"/>
          <w:sz w:val="24"/>
          <w:szCs w:val="24"/>
          <w:lang w:val="en-US" w:eastAsia="zh-CN" w:bidi="ar-SA"/>
        </w:rPr>
        <w:t>采购标的需满足产品三包服务</w:t>
      </w:r>
      <w:r>
        <w:rPr>
          <w:rFonts w:hint="eastAsia" w:ascii="宋体" w:hAnsi="宋体" w:eastAsia="宋体" w:cs="Times New Roman"/>
          <w:color w:val="000000"/>
          <w:kern w:val="2"/>
          <w:sz w:val="24"/>
          <w:szCs w:val="24"/>
          <w:lang w:val="en-US" w:eastAsia="zh-CN" w:bidi="ar-SA"/>
        </w:rPr>
        <w:t>，</w:t>
      </w:r>
      <w:r>
        <w:rPr>
          <w:rFonts w:hint="default" w:ascii="宋体" w:hAnsi="宋体" w:eastAsia="宋体" w:cs="Times New Roman"/>
          <w:color w:val="000000"/>
          <w:kern w:val="2"/>
          <w:sz w:val="24"/>
          <w:szCs w:val="24"/>
          <w:lang w:val="en-US" w:eastAsia="zh-CN" w:bidi="ar-SA"/>
        </w:rPr>
        <w:t>提供</w:t>
      </w:r>
      <w:r>
        <w:rPr>
          <w:rFonts w:hint="eastAsia" w:ascii="宋体" w:hAnsi="宋体" w:eastAsia="宋体" w:cs="Times New Roman"/>
          <w:color w:val="000000"/>
          <w:kern w:val="2"/>
          <w:sz w:val="24"/>
          <w:szCs w:val="24"/>
          <w:lang w:val="en-US" w:eastAsia="zh-CN" w:bidi="ar-SA"/>
        </w:rPr>
        <w:t>3</w:t>
      </w:r>
      <w:r>
        <w:rPr>
          <w:rFonts w:hint="default" w:ascii="宋体" w:hAnsi="宋体" w:eastAsia="宋体" w:cs="Times New Roman"/>
          <w:color w:val="000000"/>
          <w:kern w:val="2"/>
          <w:sz w:val="24"/>
          <w:szCs w:val="24"/>
          <w:lang w:val="en-US" w:eastAsia="zh-CN" w:bidi="ar-SA"/>
        </w:rPr>
        <w:t>年</w:t>
      </w:r>
      <w:r>
        <w:rPr>
          <w:rFonts w:hint="eastAsia" w:ascii="宋体" w:hAnsi="宋体" w:eastAsia="宋体" w:cs="Times New Roman"/>
          <w:color w:val="000000"/>
          <w:kern w:val="2"/>
          <w:sz w:val="24"/>
          <w:szCs w:val="24"/>
          <w:lang w:val="en-US" w:eastAsia="zh-CN" w:bidi="ar-SA"/>
        </w:rPr>
        <w:t>软件运行维护</w:t>
      </w:r>
      <w:r>
        <w:rPr>
          <w:rFonts w:hint="default" w:ascii="宋体" w:hAnsi="宋体" w:eastAsia="宋体" w:cs="Times New Roman"/>
          <w:color w:val="000000"/>
          <w:kern w:val="2"/>
          <w:sz w:val="24"/>
          <w:szCs w:val="24"/>
          <w:lang w:val="en-US" w:eastAsia="zh-CN" w:bidi="ar-SA"/>
        </w:rPr>
        <w:t>。</w:t>
      </w:r>
    </w:p>
    <w:p w14:paraId="23C8D8CB">
      <w:pPr>
        <w:keepNext w:val="0"/>
        <w:keepLines w:val="0"/>
        <w:pageBreakBefore w:val="0"/>
        <w:widowControl w:val="0"/>
        <w:kinsoku/>
        <w:wordWrap/>
        <w:overflowPunct w:val="0"/>
        <w:topLinePunct w:val="0"/>
        <w:autoSpaceDE/>
        <w:autoSpaceDN/>
        <w:bidi w:val="0"/>
        <w:adjustRightInd w:val="0"/>
        <w:snapToGrid/>
        <w:spacing w:line="40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default" w:ascii="宋体" w:hAnsi="宋体" w:eastAsia="宋体" w:cs="Times New Roman"/>
          <w:color w:val="000000"/>
          <w:kern w:val="2"/>
          <w:sz w:val="24"/>
          <w:szCs w:val="24"/>
          <w:lang w:val="en-US" w:eastAsia="zh-CN" w:bidi="ar-SA"/>
        </w:rPr>
        <w:t>.针对临床思维训练系统提供信息系统基础运维服务，满足院内日常</w:t>
      </w:r>
      <w:r>
        <w:rPr>
          <w:rFonts w:hint="eastAsia" w:ascii="宋体" w:hAnsi="宋体" w:eastAsia="宋体" w:cs="Times New Roman"/>
          <w:color w:val="000000"/>
          <w:kern w:val="2"/>
          <w:sz w:val="24"/>
          <w:szCs w:val="24"/>
          <w:lang w:val="en-US" w:eastAsia="zh-CN" w:bidi="ar-SA"/>
        </w:rPr>
        <w:t>教学使用</w:t>
      </w:r>
      <w:r>
        <w:rPr>
          <w:rFonts w:hint="default" w:ascii="宋体" w:hAnsi="宋体" w:eastAsia="宋体" w:cs="Times New Roman"/>
          <w:color w:val="000000"/>
          <w:kern w:val="2"/>
          <w:sz w:val="24"/>
          <w:szCs w:val="24"/>
          <w:lang w:val="en-US" w:eastAsia="zh-CN" w:bidi="ar-SA"/>
        </w:rPr>
        <w:t>的要求。</w:t>
      </w:r>
    </w:p>
    <w:p w14:paraId="076AC69C">
      <w:pPr>
        <w:keepNext w:val="0"/>
        <w:keepLines w:val="0"/>
        <w:pageBreakBefore w:val="0"/>
        <w:widowControl w:val="0"/>
        <w:kinsoku/>
        <w:wordWrap/>
        <w:overflowPunct w:val="0"/>
        <w:topLinePunct w:val="0"/>
        <w:autoSpaceDE/>
        <w:autoSpaceDN/>
        <w:bidi w:val="0"/>
        <w:adjustRightInd w:val="0"/>
        <w:snapToGrid/>
        <w:spacing w:line="400" w:lineRule="exact"/>
        <w:ind w:firstLine="480" w:firstLineChars="200"/>
        <w:jc w:val="both"/>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w:t>
      </w:r>
      <w:r>
        <w:rPr>
          <w:rFonts w:hint="default" w:ascii="宋体" w:hAnsi="宋体" w:eastAsia="宋体" w:cs="Times New Roman"/>
          <w:color w:val="000000"/>
          <w:kern w:val="2"/>
          <w:sz w:val="24"/>
          <w:szCs w:val="24"/>
          <w:lang w:val="en-US" w:eastAsia="zh-CN" w:bidi="ar-SA"/>
        </w:rPr>
        <w:t>.提供软件系统的版本升级和功能优化服务，所有软件升级均不收取额外费用，确保始终使用最新版本的软件系统</w:t>
      </w:r>
      <w:r>
        <w:rPr>
          <w:rFonts w:hint="eastAsia" w:ascii="宋体" w:hAnsi="宋体" w:eastAsia="宋体" w:cs="Times New Roman"/>
          <w:color w:val="000000"/>
          <w:kern w:val="2"/>
          <w:sz w:val="24"/>
          <w:szCs w:val="24"/>
          <w:lang w:val="en-US" w:eastAsia="zh-CN" w:bidi="ar-SA"/>
        </w:rPr>
        <w:t>，软件更新将通过线上自动更新或远程操作完成，确保不会影响正常的培训工作</w:t>
      </w:r>
      <w:r>
        <w:rPr>
          <w:rFonts w:hint="default" w:ascii="宋体" w:hAnsi="宋体" w:eastAsia="宋体" w:cs="Times New Roman"/>
          <w:color w:val="000000"/>
          <w:kern w:val="2"/>
          <w:sz w:val="24"/>
          <w:szCs w:val="24"/>
          <w:lang w:val="en-US" w:eastAsia="zh-CN" w:bidi="ar-SA"/>
        </w:rPr>
        <w:t>。</w:t>
      </w:r>
    </w:p>
    <w:p w14:paraId="7A00F0FC">
      <w:pPr>
        <w:keepNext w:val="0"/>
        <w:keepLines w:val="0"/>
        <w:pageBreakBefore w:val="0"/>
        <w:widowControl w:val="0"/>
        <w:kinsoku/>
        <w:wordWrap/>
        <w:overflowPunct w:val="0"/>
        <w:topLinePunct w:val="0"/>
        <w:autoSpaceDE/>
        <w:autoSpaceDN/>
        <w:bidi w:val="0"/>
        <w:adjustRightInd w:val="0"/>
        <w:snapToGrid/>
        <w:spacing w:line="400" w:lineRule="exact"/>
        <w:ind w:firstLine="480" w:firstLineChars="200"/>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w:t>
      </w:r>
      <w:r>
        <w:rPr>
          <w:rFonts w:hint="default" w:ascii="宋体" w:hAnsi="宋体" w:eastAsia="宋体" w:cs="Times New Roman"/>
          <w:color w:val="000000"/>
          <w:kern w:val="2"/>
          <w:sz w:val="24"/>
          <w:szCs w:val="24"/>
          <w:lang w:val="en-US" w:eastAsia="zh-CN" w:bidi="ar-SA"/>
        </w:rPr>
        <w:t>质保期内提供7×24小时的技术支持服务，配置专门固定的售后服务电话。成交供应商接到采购人系统故障报修应在10分钟内响应，如4小时内无法电话解决问题，维修人员必须在24小时之内到达现场（含节假日），紧急情况须在接到采购人报修后4小时内到达现场维修处理，故障排除在1个工作日内，若需更长时间，成交供货商须提供备用设备或提出切实可行的解决方案（提供承诺函，格式自拟）</w:t>
      </w:r>
    </w:p>
    <w:p w14:paraId="1E2B2864">
      <w:pPr>
        <w:pStyle w:val="4"/>
        <w:keepNext w:val="0"/>
        <w:keepLines w:val="0"/>
        <w:pageBreakBefore w:val="0"/>
        <w:widowControl w:val="0"/>
        <w:kinsoku/>
        <w:wordWrap/>
        <w:topLinePunct w:val="0"/>
        <w:autoSpaceDE/>
        <w:autoSpaceDN/>
        <w:bidi w:val="0"/>
        <w:snapToGrid/>
        <w:spacing w:line="400" w:lineRule="exact"/>
        <w:ind w:left="0" w:leftChars="0" w:firstLine="638" w:firstLineChars="266"/>
        <w:textAlignment w:val="auto"/>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w:t>
      </w:r>
      <w:r>
        <w:rPr>
          <w:rFonts w:hint="default" w:ascii="宋体" w:hAnsi="宋体" w:eastAsia="宋体" w:cs="Times New Roman"/>
          <w:color w:val="000000"/>
          <w:kern w:val="2"/>
          <w:sz w:val="24"/>
          <w:szCs w:val="24"/>
          <w:lang w:val="en-US" w:eastAsia="zh-CN" w:bidi="ar-SA"/>
        </w:rPr>
        <w:t>.问题处理及时性</w:t>
      </w:r>
      <w:r>
        <w:rPr>
          <w:rFonts w:hint="eastAsia" w:ascii="宋体" w:hAnsi="宋体" w:eastAsia="宋体" w:cs="Times New Roman"/>
          <w:color w:val="000000"/>
          <w:kern w:val="2"/>
          <w:sz w:val="24"/>
          <w:szCs w:val="24"/>
          <w:lang w:val="en-US" w:eastAsia="zh-CN" w:bidi="ar-SA"/>
        </w:rPr>
        <w:t>：</w:t>
      </w:r>
      <w:r>
        <w:rPr>
          <w:rFonts w:hint="default" w:ascii="宋体" w:hAnsi="宋体" w:eastAsia="宋体" w:cs="Times New Roman"/>
          <w:color w:val="000000"/>
          <w:kern w:val="2"/>
          <w:sz w:val="24"/>
          <w:szCs w:val="24"/>
          <w:lang w:val="en-US" w:eastAsia="zh-CN" w:bidi="ar-SA"/>
        </w:rPr>
        <w:t>在明确为厂商问题</w:t>
      </w:r>
      <w:r>
        <w:rPr>
          <w:rFonts w:hint="eastAsia" w:ascii="宋体" w:hAnsi="宋体" w:eastAsia="宋体" w:cs="Times New Roman"/>
          <w:color w:val="000000"/>
          <w:kern w:val="2"/>
          <w:sz w:val="24"/>
          <w:szCs w:val="24"/>
          <w:lang w:val="en-US" w:eastAsia="zh-CN" w:bidi="ar-SA"/>
        </w:rPr>
        <w:t>后</w:t>
      </w:r>
      <w:r>
        <w:rPr>
          <w:rFonts w:hint="default" w:ascii="宋体" w:hAnsi="宋体" w:eastAsia="宋体" w:cs="Times New Roman"/>
          <w:color w:val="000000"/>
          <w:kern w:val="2"/>
          <w:sz w:val="24"/>
          <w:szCs w:val="24"/>
          <w:lang w:val="en-US" w:eastAsia="zh-CN" w:bidi="ar-SA"/>
        </w:rPr>
        <w:t>，在5个工作日内未处理或未给出对应解决方案，由双方确认后每次扣1000元。</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cs="宋体"/>
          <w:color w:val="auto"/>
          <w:sz w:val="24"/>
          <w:szCs w:val="24"/>
          <w:highlight w:val="none"/>
          <w:lang w:val="en-US" w:eastAsia="zh-CN"/>
        </w:rPr>
        <w:t>交货</w:t>
      </w:r>
      <w:r>
        <w:rPr>
          <w:rFonts w:hint="eastAsia" w:ascii="宋体" w:hAnsi="宋体" w:eastAsia="宋体" w:cs="宋体"/>
          <w:color w:val="auto"/>
          <w:sz w:val="24"/>
          <w:szCs w:val="24"/>
          <w:highlight w:val="none"/>
          <w:lang w:val="en-US" w:eastAsia="zh-CN"/>
        </w:rPr>
        <w:t>时间：</w:t>
      </w:r>
      <w:r>
        <w:rPr>
          <w:rFonts w:hint="default" w:ascii="宋体" w:hAnsi="宋体" w:eastAsia="宋体" w:cs="宋体"/>
          <w:color w:val="auto"/>
          <w:sz w:val="24"/>
          <w:szCs w:val="24"/>
          <w:highlight w:val="none"/>
          <w:lang w:val="en-US" w:eastAsia="zh-CN"/>
        </w:rPr>
        <w:t>合同签订后</w:t>
      </w:r>
      <w:r>
        <w:rPr>
          <w:rFonts w:hint="eastAsia" w:cs="宋体"/>
          <w:color w:val="auto"/>
          <w:sz w:val="24"/>
          <w:szCs w:val="24"/>
          <w:highlight w:val="none"/>
          <w:lang w:val="en-US" w:eastAsia="zh-CN"/>
        </w:rPr>
        <w:t>30日内</w:t>
      </w:r>
      <w:r>
        <w:rPr>
          <w:rFonts w:hint="eastAsia" w:ascii="宋体" w:hAnsi="宋体" w:eastAsia="宋体" w:cs="宋体"/>
          <w:color w:val="auto"/>
          <w:sz w:val="24"/>
          <w:szCs w:val="24"/>
          <w:highlight w:val="none"/>
          <w:lang w:val="en-US" w:eastAsia="zh-CN"/>
        </w:rPr>
        <w:t>。</w:t>
      </w:r>
    </w:p>
    <w:p w14:paraId="394C4837">
      <w:pPr>
        <w:pStyle w:val="4"/>
        <w:ind w:left="479" w:leftChars="228" w:firstLine="0" w:firstLineChars="0"/>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2.交货地点：邻水县人民医院</w:t>
      </w:r>
      <w:r>
        <w:rPr>
          <w:rFonts w:hint="eastAsia" w:ascii="宋体" w:hAnsi="宋体" w:eastAsia="宋体" w:cs="宋体"/>
          <w:color w:val="auto"/>
          <w:sz w:val="24"/>
          <w:szCs w:val="24"/>
          <w:highlight w:val="none"/>
          <w:lang w:val="en-US" w:eastAsia="zh-CN"/>
        </w:rPr>
        <w:t>。</w:t>
      </w:r>
    </w:p>
    <w:p w14:paraId="11FEC2D4">
      <w:pPr>
        <w:pStyle w:val="4"/>
        <w:spacing w:line="400" w:lineRule="exact"/>
        <w:ind w:left="0" w:leftChars="0" w:firstLine="480" w:firstLineChars="200"/>
        <w:rPr>
          <w:rFonts w:hint="eastAsia" w:cs="宋体"/>
          <w:color w:val="auto"/>
          <w:sz w:val="24"/>
          <w:szCs w:val="24"/>
          <w:highlight w:val="none"/>
          <w:lang w:val="en-US" w:eastAsia="zh-CN"/>
        </w:rPr>
      </w:pPr>
      <w:r>
        <w:rPr>
          <w:rFonts w:hint="eastAsia" w:cs="宋体"/>
          <w:color w:val="auto"/>
          <w:sz w:val="24"/>
          <w:szCs w:val="24"/>
          <w:highlight w:val="none"/>
          <w:lang w:val="en-US" w:eastAsia="zh-CN"/>
        </w:rPr>
        <w:t>3.验收标准：采购项目履约完成后，采购人应严格按照</w:t>
      </w:r>
      <w:r>
        <w:rPr>
          <w:rFonts w:hint="eastAsia" w:ascii="宋体" w:hAnsi="宋体" w:eastAsia="宋体" w:cs="宋体"/>
          <w:color w:val="auto"/>
          <w:sz w:val="24"/>
          <w:highlight w:val="none"/>
        </w:rPr>
        <w:t>《财政部关于进一步加强政府采购需求和履约验收管理的指导意见》（财库〔2016〕205号）</w:t>
      </w:r>
      <w:r>
        <w:rPr>
          <w:rFonts w:hint="eastAsia" w:cs="宋体"/>
          <w:color w:val="auto"/>
          <w:sz w:val="24"/>
          <w:szCs w:val="24"/>
          <w:highlight w:val="none"/>
          <w:lang w:val="en-US" w:eastAsia="zh-CN"/>
        </w:rPr>
        <w:t>的要求进行验收，</w:t>
      </w:r>
      <w:r>
        <w:rPr>
          <w:rFonts w:hint="eastAsia" w:ascii="宋体" w:hAnsi="宋体" w:cs="宋体"/>
          <w:color w:val="auto"/>
          <w:sz w:val="24"/>
          <w:szCs w:val="24"/>
          <w:highlight w:val="none"/>
          <w:lang w:val="en-US" w:eastAsia="zh-CN"/>
        </w:rPr>
        <w:t>必须与投标文件应答的配置和技术参数一致。</w:t>
      </w:r>
      <w:r>
        <w:rPr>
          <w:rFonts w:hint="eastAsia" w:cs="宋体"/>
          <w:color w:val="auto"/>
          <w:sz w:val="24"/>
          <w:szCs w:val="24"/>
          <w:highlight w:val="none"/>
          <w:lang w:val="en-US" w:eastAsia="zh-CN"/>
        </w:rPr>
        <w:t>不得拒绝社会监督。</w:t>
      </w:r>
    </w:p>
    <w:p w14:paraId="7E360BF1">
      <w:pPr>
        <w:pStyle w:val="4"/>
        <w:rPr>
          <w:rFonts w:hint="default" w:ascii="宋体" w:hAnsi="宋体" w:eastAsia="宋体" w:cs="宋体"/>
          <w:color w:val="auto"/>
          <w:sz w:val="24"/>
          <w:lang w:val="en-US" w:eastAsia="zh-CN"/>
        </w:rPr>
      </w:pPr>
      <w:r>
        <w:rPr>
          <w:rFonts w:hint="eastAsia" w:cs="宋体"/>
          <w:color w:val="auto"/>
          <w:sz w:val="24"/>
          <w:szCs w:val="24"/>
          <w:highlight w:val="none"/>
          <w:lang w:val="en-US" w:eastAsia="zh-CN"/>
        </w:rPr>
        <w:t>4.付款方式</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分期支付</w:t>
      </w:r>
      <w:r>
        <w:rPr>
          <w:rFonts w:hint="default" w:ascii="宋体" w:hAnsi="宋体" w:eastAsia="宋体" w:cs="宋体"/>
          <w:color w:val="auto"/>
          <w:sz w:val="24"/>
          <w:szCs w:val="24"/>
          <w:lang w:val="en-US" w:eastAsia="zh-CN"/>
        </w:rPr>
        <w:t>。</w:t>
      </w:r>
      <w:r>
        <w:rPr>
          <w:rFonts w:hint="eastAsia" w:ascii="宋体" w:hAnsi="宋体" w:eastAsia="宋体" w:cs="宋体"/>
          <w:color w:val="auto"/>
          <w:sz w:val="24"/>
          <w:lang w:val="en-US" w:eastAsia="zh-CN"/>
        </w:rPr>
        <w:t>验收完成且收到正式发票后，达到付款条件起30 日内，支付合同总金额的70%；验收后正常维护运行3个月后，支付合同总金额的20%；项目上线一年并正常维护运行,支付合同总金额的</w:t>
      </w:r>
      <w:r>
        <w:rPr>
          <w:rFonts w:hint="eastAsia" w:cs="宋体"/>
          <w:color w:val="auto"/>
          <w:sz w:val="24"/>
          <w:lang w:val="en-US" w:eastAsia="zh-CN"/>
        </w:rPr>
        <w:t>7</w:t>
      </w:r>
      <w:r>
        <w:rPr>
          <w:rFonts w:hint="eastAsia" w:ascii="宋体" w:hAnsi="宋体" w:eastAsia="宋体" w:cs="宋体"/>
          <w:color w:val="auto"/>
          <w:sz w:val="24"/>
          <w:lang w:val="en-US" w:eastAsia="zh-CN"/>
        </w:rPr>
        <w:t>%；项目上线</w:t>
      </w:r>
      <w:r>
        <w:rPr>
          <w:rFonts w:hint="eastAsia" w:cs="宋体"/>
          <w:color w:val="auto"/>
          <w:sz w:val="24"/>
          <w:lang w:val="en-US" w:eastAsia="zh-CN"/>
        </w:rPr>
        <w:t>三</w:t>
      </w:r>
      <w:r>
        <w:rPr>
          <w:rFonts w:hint="eastAsia" w:ascii="宋体" w:hAnsi="宋体" w:eastAsia="宋体" w:cs="宋体"/>
          <w:color w:val="auto"/>
          <w:sz w:val="24"/>
          <w:lang w:val="en-US" w:eastAsia="zh-CN"/>
        </w:rPr>
        <w:t>年并正常维护运行,支付合同总金额的</w:t>
      </w:r>
      <w:r>
        <w:rPr>
          <w:rFonts w:hint="eastAsia" w:cs="宋体"/>
          <w:color w:val="auto"/>
          <w:sz w:val="24"/>
          <w:lang w:val="en-US" w:eastAsia="zh-CN"/>
        </w:rPr>
        <w:t>3</w:t>
      </w:r>
      <w:r>
        <w:rPr>
          <w:rFonts w:hint="eastAsia" w:ascii="宋体" w:hAnsi="宋体" w:eastAsia="宋体" w:cs="宋体"/>
          <w:color w:val="auto"/>
          <w:sz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2C19FF9">
      <w:pPr>
        <w:pStyle w:val="6"/>
        <w:rPr>
          <w:rFonts w:hint="eastAsia" w:ascii="黑体" w:hAnsi="宋体" w:eastAsia="黑体"/>
          <w:b/>
          <w:bCs/>
          <w:sz w:val="32"/>
          <w:szCs w:val="32"/>
        </w:rPr>
      </w:pPr>
    </w:p>
    <w:p w14:paraId="45E475FB">
      <w:pPr>
        <w:pStyle w:val="7"/>
        <w:rPr>
          <w:rFonts w:hint="eastAsia"/>
        </w:rPr>
      </w:pPr>
    </w:p>
    <w:p w14:paraId="78205F60">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2" w:name="_Toc22280"/>
      <w:bookmarkStart w:id="33"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7"/>
        <w:rPr>
          <w:sz w:val="24"/>
          <w:highlight w:val="white"/>
        </w:rPr>
      </w:pPr>
    </w:p>
    <w:p w14:paraId="4C0E06A2">
      <w:pPr>
        <w:pStyle w:val="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bookmarkEnd w:id="23"/>
    <w:bookmarkEnd w:id="24"/>
    <w:bookmarkEnd w:id="25"/>
    <w:bookmarkEnd w:id="32"/>
    <w:bookmarkEnd w:id="33"/>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4" w:name="_Toc350864527"/>
      <w:bookmarkStart w:id="35" w:name="_Toc349810624"/>
    </w:p>
    <w:bookmarkEnd w:id="34"/>
    <w:bookmarkEnd w:id="35"/>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3C1496"/>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1A33DD"/>
    <w:rsid w:val="15C06EFA"/>
    <w:rsid w:val="15C252D6"/>
    <w:rsid w:val="16FE5738"/>
    <w:rsid w:val="17076BA6"/>
    <w:rsid w:val="17214185"/>
    <w:rsid w:val="17AC53CA"/>
    <w:rsid w:val="17D16426"/>
    <w:rsid w:val="188620FB"/>
    <w:rsid w:val="18D362B4"/>
    <w:rsid w:val="19575943"/>
    <w:rsid w:val="195A66FF"/>
    <w:rsid w:val="196E39FC"/>
    <w:rsid w:val="19970C16"/>
    <w:rsid w:val="1A412630"/>
    <w:rsid w:val="1A705BA0"/>
    <w:rsid w:val="1C790BEF"/>
    <w:rsid w:val="1CC21F8E"/>
    <w:rsid w:val="1DDF0350"/>
    <w:rsid w:val="1F7A022C"/>
    <w:rsid w:val="1FBF6B0B"/>
    <w:rsid w:val="1FE43AF7"/>
    <w:rsid w:val="204A081C"/>
    <w:rsid w:val="205058A7"/>
    <w:rsid w:val="20714280"/>
    <w:rsid w:val="207460AE"/>
    <w:rsid w:val="21427125"/>
    <w:rsid w:val="21CC3154"/>
    <w:rsid w:val="22947F00"/>
    <w:rsid w:val="22E84BEF"/>
    <w:rsid w:val="23902475"/>
    <w:rsid w:val="239E61C1"/>
    <w:rsid w:val="248F084E"/>
    <w:rsid w:val="259801CB"/>
    <w:rsid w:val="268F0FD1"/>
    <w:rsid w:val="27644041"/>
    <w:rsid w:val="28FC7A35"/>
    <w:rsid w:val="2A1047F1"/>
    <w:rsid w:val="2A745C14"/>
    <w:rsid w:val="2AAA30F8"/>
    <w:rsid w:val="2AE95BE6"/>
    <w:rsid w:val="2AE9675F"/>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CDD2C63"/>
    <w:rsid w:val="7D147E0C"/>
    <w:rsid w:val="7D4434B8"/>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6274</Words>
  <Characters>6591</Characters>
  <Lines>0</Lines>
  <Paragraphs>0</Paragraphs>
  <TotalTime>29</TotalTime>
  <ScaleCrop>false</ScaleCrop>
  <LinksUpToDate>false</LinksUpToDate>
  <CharactersWithSpaces>6651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2025-11-24T03:42:13Z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033761A8E89E41B580C09922FE977B05_13</vt:lpwstr>
  </property>
  <property fmtid="{D5CDD505-2E9C-101B-9397-08002B2CF9AE}" pid="4" name="KSOTemplateDocerSaveRecord">
    <vt:lpwstr>eyJoZGlkIjoiYWRhNDZmMjJlZTg3ODUxNTc2ZDgzOWQwOWZiN2FhNmEiLCJ1c2VySWQiOiI1NzU5NTE5MDgifQ==</vt:lpwstr>
  </property>
</Properties>
</file>