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普通病床、多功能专用床（二次）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9</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28</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LYC-2025-099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普通病床、多功能专用床（二次）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24.8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22.88</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4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bookmarkStart w:id="34" w:name="_GoBack"/>
      <w:bookmarkEnd w:id="34"/>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1"/>
        <w:spacing w:line="440" w:lineRule="exact"/>
        <w:ind w:firstLine="1200" w:firstLineChars="500"/>
        <w:rPr>
          <w:rFonts w:hint="default"/>
          <w:sz w:val="21"/>
          <w:szCs w:val="21"/>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w:t>
      </w:r>
      <w:r>
        <w:rPr>
          <w:rFonts w:hint="eastAsia"/>
          <w:sz w:val="21"/>
          <w:szCs w:val="21"/>
          <w:lang w:val="en-US" w:eastAsia="zh-CN"/>
        </w:rPr>
        <w:t xml:space="preserve">13882615861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2480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2288</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24295"/>
      <w:bookmarkStart w:id="7" w:name="_Toc17067"/>
      <w:bookmarkStart w:id="8" w:name="_Toc13038"/>
      <w:bookmarkStart w:id="9" w:name="_Toc15215"/>
      <w:bookmarkStart w:id="10" w:name="_Toc31240"/>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：普通病床</w:t>
      </w:r>
      <w:r>
        <w:rPr>
          <w:rFonts w:hint="eastAsia"/>
          <w:sz w:val="24"/>
          <w:lang w:eastAsia="zh-CN"/>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101250646"/>
      <w:bookmarkStart w:id="14" w:name="_Toc430773927"/>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eastAsia="宋体" w:cs="Times New Roman"/>
          <w:b w:val="0"/>
          <w:bCs w:val="0"/>
          <w:sz w:val="24"/>
          <w:highlight w:val="none"/>
          <w:lang w:val="en-US" w:eastAsia="zh-CN"/>
        </w:rPr>
        <w:t>提供医疗器械生产或经营企业许可证明复印件。</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77400782"/>
      <w:bookmarkStart w:id="18" w:name="_Toc183682368"/>
      <w:bookmarkStart w:id="19" w:name="_Toc183582231"/>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普通病床、多功能专用床</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41"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普通病床1</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45</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90000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31515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3FE58579">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1961" w:type="dxa"/>
            <w:vAlign w:val="center"/>
          </w:tcPr>
          <w:p w14:paraId="2909C971">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普通病床2</w:t>
            </w:r>
          </w:p>
        </w:tc>
        <w:tc>
          <w:tcPr>
            <w:tcW w:w="972" w:type="dxa"/>
            <w:vAlign w:val="center"/>
          </w:tcPr>
          <w:p w14:paraId="6EAF534C">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04056C1D">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55</w:t>
            </w:r>
          </w:p>
        </w:tc>
        <w:tc>
          <w:tcPr>
            <w:tcW w:w="1980" w:type="dxa"/>
            <w:tcBorders>
              <w:top w:val="single" w:color="auto" w:sz="4" w:space="0"/>
              <w:bottom w:val="single" w:color="auto" w:sz="4" w:space="0"/>
            </w:tcBorders>
            <w:vAlign w:val="center"/>
          </w:tcPr>
          <w:p w14:paraId="7B39FF61">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2000</w:t>
            </w:r>
          </w:p>
        </w:tc>
        <w:tc>
          <w:tcPr>
            <w:tcW w:w="1584" w:type="dxa"/>
            <w:tcBorders>
              <w:top w:val="single" w:color="auto" w:sz="4" w:space="0"/>
              <w:bottom w:val="single" w:color="auto" w:sz="4" w:space="0"/>
            </w:tcBorders>
            <w:vAlign w:val="center"/>
          </w:tcPr>
          <w:p w14:paraId="36C655C5">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110000</w:t>
            </w:r>
          </w:p>
        </w:tc>
        <w:tc>
          <w:tcPr>
            <w:tcW w:w="1084" w:type="dxa"/>
            <w:tcBorders>
              <w:top w:val="single" w:color="auto" w:sz="4" w:space="0"/>
              <w:bottom w:val="single" w:color="auto" w:sz="4" w:space="0"/>
            </w:tcBorders>
            <w:vAlign w:val="center"/>
          </w:tcPr>
          <w:p w14:paraId="65EDAD87">
            <w:pPr>
              <w:pStyle w:val="29"/>
              <w:jc w:val="center"/>
              <w:rPr>
                <w:rFonts w:hint="eastAsia" w:asciiTheme="minorEastAsia" w:hAnsiTheme="minorEastAsia" w:eastAsiaTheme="minorEastAsia" w:cstheme="minorEastAsia"/>
                <w:sz w:val="22"/>
                <w:szCs w:val="22"/>
              </w:rPr>
            </w:pPr>
          </w:p>
        </w:tc>
      </w:tr>
      <w:tr w14:paraId="75DA2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8FD400F">
            <w:pPr>
              <w:overflowPunct w:val="0"/>
              <w:adjustRightInd w:val="0"/>
              <w:snapToGrid w:val="0"/>
              <w:spacing w:line="580" w:lineRule="exact"/>
              <w:ind w:firstLine="280" w:firstLineChars="100"/>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1961" w:type="dxa"/>
            <w:vAlign w:val="center"/>
          </w:tcPr>
          <w:p w14:paraId="1AA9DD89">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多功能专用床</w:t>
            </w:r>
          </w:p>
        </w:tc>
        <w:tc>
          <w:tcPr>
            <w:tcW w:w="972" w:type="dxa"/>
            <w:vAlign w:val="center"/>
          </w:tcPr>
          <w:p w14:paraId="28933599">
            <w:pPr>
              <w:adjustRightInd w:val="0"/>
              <w:snapToGrid w:val="0"/>
              <w:spacing w:line="400" w:lineRule="exact"/>
              <w:jc w:val="cente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张</w:t>
            </w:r>
          </w:p>
        </w:tc>
        <w:tc>
          <w:tcPr>
            <w:tcW w:w="996" w:type="dxa"/>
            <w:tcBorders>
              <w:top w:val="single" w:color="auto" w:sz="4" w:space="0"/>
              <w:bottom w:val="single" w:color="auto" w:sz="4" w:space="0"/>
            </w:tcBorders>
            <w:vAlign w:val="center"/>
          </w:tcPr>
          <w:p w14:paraId="6C6244B5">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4</w:t>
            </w:r>
          </w:p>
        </w:tc>
        <w:tc>
          <w:tcPr>
            <w:tcW w:w="1980" w:type="dxa"/>
            <w:tcBorders>
              <w:top w:val="single" w:color="auto" w:sz="4" w:space="0"/>
              <w:bottom w:val="single" w:color="auto" w:sz="4" w:space="0"/>
            </w:tcBorders>
            <w:vAlign w:val="center"/>
          </w:tcPr>
          <w:p w14:paraId="6A65537E">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7200</w:t>
            </w:r>
          </w:p>
        </w:tc>
        <w:tc>
          <w:tcPr>
            <w:tcW w:w="1584" w:type="dxa"/>
            <w:tcBorders>
              <w:top w:val="single" w:color="auto" w:sz="4" w:space="0"/>
              <w:bottom w:val="single" w:color="auto" w:sz="4" w:space="0"/>
            </w:tcBorders>
            <w:vAlign w:val="center"/>
          </w:tcPr>
          <w:p w14:paraId="04F9C8B9">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28800</w:t>
            </w:r>
          </w:p>
        </w:tc>
        <w:tc>
          <w:tcPr>
            <w:tcW w:w="1084" w:type="dxa"/>
            <w:tcBorders>
              <w:top w:val="single" w:color="auto" w:sz="4" w:space="0"/>
              <w:bottom w:val="single" w:color="auto" w:sz="4" w:space="0"/>
            </w:tcBorders>
            <w:vAlign w:val="center"/>
          </w:tcPr>
          <w:p w14:paraId="0EB29233">
            <w:pPr>
              <w:pStyle w:val="29"/>
              <w:jc w:val="center"/>
              <w:rPr>
                <w:rFonts w:hint="eastAsia" w:asciiTheme="minorEastAsia" w:hAnsiTheme="minorEastAsia" w:eastAsiaTheme="minorEastAsia" w:cstheme="minorEastAsia"/>
                <w:sz w:val="22"/>
                <w:szCs w:val="22"/>
              </w:rPr>
            </w:pPr>
          </w:p>
        </w:tc>
      </w:tr>
      <w:tr w14:paraId="3DF73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025143B8">
            <w:pPr>
              <w:overflowPunct w:val="0"/>
              <w:adjustRightInd w:val="0"/>
              <w:snapToGrid w:val="0"/>
              <w:spacing w:line="580" w:lineRule="exact"/>
              <w:ind w:firstLine="280" w:firstLineChars="100"/>
              <w:rPr>
                <w:rFonts w:hint="eastAsia" w:ascii="宋体" w:hAnsi="宋体" w:cs="宋体"/>
                <w:color w:val="auto"/>
                <w:sz w:val="28"/>
                <w:szCs w:val="28"/>
                <w:lang w:val="en-US" w:eastAsia="zh-CN"/>
              </w:rPr>
            </w:pPr>
          </w:p>
        </w:tc>
        <w:tc>
          <w:tcPr>
            <w:tcW w:w="1961" w:type="dxa"/>
            <w:vAlign w:val="center"/>
          </w:tcPr>
          <w:p w14:paraId="2BCF6FE6">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合计</w:t>
            </w:r>
          </w:p>
        </w:tc>
        <w:tc>
          <w:tcPr>
            <w:tcW w:w="972" w:type="dxa"/>
            <w:vAlign w:val="center"/>
          </w:tcPr>
          <w:p w14:paraId="6460E739">
            <w:pPr>
              <w:adjustRightInd w:val="0"/>
              <w:snapToGrid w:val="0"/>
              <w:spacing w:line="400" w:lineRule="exact"/>
              <w:jc w:val="center"/>
              <w:rPr>
                <w:rFonts w:hint="eastAsia" w:ascii="宋体" w:hAnsi="宋体" w:cs="宋体"/>
                <w:b w:val="0"/>
                <w:bCs w:val="0"/>
                <w:color w:val="auto"/>
                <w:sz w:val="24"/>
                <w:szCs w:val="24"/>
                <w:lang w:val="en-US" w:eastAsia="zh-CN"/>
              </w:rPr>
            </w:pPr>
          </w:p>
        </w:tc>
        <w:tc>
          <w:tcPr>
            <w:tcW w:w="996" w:type="dxa"/>
            <w:tcBorders>
              <w:top w:val="single" w:color="auto" w:sz="4" w:space="0"/>
              <w:bottom w:val="single" w:color="auto" w:sz="4" w:space="0"/>
            </w:tcBorders>
            <w:vAlign w:val="center"/>
          </w:tcPr>
          <w:p w14:paraId="074725CA">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980" w:type="dxa"/>
            <w:tcBorders>
              <w:top w:val="single" w:color="auto" w:sz="4" w:space="0"/>
              <w:bottom w:val="single" w:color="auto" w:sz="4" w:space="0"/>
            </w:tcBorders>
            <w:vAlign w:val="center"/>
          </w:tcPr>
          <w:p w14:paraId="0E9EE027">
            <w:pPr>
              <w:adjustRightInd w:val="0"/>
              <w:snapToGrid w:val="0"/>
              <w:spacing w:line="400" w:lineRule="exact"/>
              <w:jc w:val="center"/>
              <w:rPr>
                <w:rFonts w:hint="eastAsia" w:ascii="宋体" w:hAnsi="宋体" w:cs="宋体"/>
                <w:color w:val="auto"/>
                <w:kern w:val="0"/>
                <w:sz w:val="24"/>
                <w:szCs w:val="24"/>
                <w:highlight w:val="none"/>
                <w:u w:val="none"/>
                <w:lang w:val="en-US" w:eastAsia="zh-CN"/>
              </w:rPr>
            </w:pPr>
          </w:p>
        </w:tc>
        <w:tc>
          <w:tcPr>
            <w:tcW w:w="1584" w:type="dxa"/>
            <w:tcBorders>
              <w:top w:val="single" w:color="auto" w:sz="4" w:space="0"/>
              <w:bottom w:val="single" w:color="auto" w:sz="4" w:space="0"/>
            </w:tcBorders>
            <w:vAlign w:val="center"/>
          </w:tcPr>
          <w:p w14:paraId="23012CA7">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228800</w:t>
            </w:r>
          </w:p>
        </w:tc>
        <w:tc>
          <w:tcPr>
            <w:tcW w:w="1084" w:type="dxa"/>
            <w:tcBorders>
              <w:top w:val="single" w:color="auto" w:sz="4" w:space="0"/>
              <w:bottom w:val="single" w:color="auto" w:sz="4" w:space="0"/>
            </w:tcBorders>
            <w:vAlign w:val="center"/>
          </w:tcPr>
          <w:p w14:paraId="6A960A90">
            <w:pPr>
              <w:pStyle w:val="29"/>
              <w:jc w:val="center"/>
              <w:rPr>
                <w:rFonts w:hint="eastAsia" w:asciiTheme="minorEastAsia" w:hAnsiTheme="minorEastAsia" w:eastAsiaTheme="minorEastAsia" w:cstheme="minorEastAsia"/>
                <w:sz w:val="22"/>
                <w:szCs w:val="22"/>
              </w:rPr>
            </w:pPr>
          </w:p>
        </w:tc>
      </w:tr>
    </w:tbl>
    <w:p w14:paraId="2AE89240">
      <w:pPr>
        <w:pStyle w:val="4"/>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p w14:paraId="1CE69E6E">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kern w:val="2"/>
          <w:sz w:val="21"/>
          <w:szCs w:val="21"/>
          <w:lang w:val="en-US" w:eastAsia="zh-CN" w:bidi="ar-SA"/>
        </w:rPr>
      </w:pPr>
    </w:p>
    <w:p w14:paraId="59DF879B">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602" w:firstLineChars="200"/>
        <w:textAlignment w:val="auto"/>
        <w:rPr>
          <w:rFonts w:hint="eastAsia" w:ascii="宋体" w:hAnsi="宋体" w:eastAsia="宋体" w:cs="宋体"/>
          <w:b/>
          <w:bCs/>
          <w:color w:val="auto"/>
          <w:kern w:val="2"/>
          <w:sz w:val="30"/>
          <w:szCs w:val="30"/>
          <w:lang w:val="en-US" w:eastAsia="zh-CN" w:bidi="ar-SA"/>
        </w:rPr>
      </w:pPr>
      <w:r>
        <w:rPr>
          <w:rFonts w:hint="eastAsia" w:ascii="宋体" w:hAnsi="宋体" w:eastAsia="宋体" w:cs="宋体"/>
          <w:b/>
          <w:bCs/>
          <w:color w:val="auto"/>
          <w:kern w:val="2"/>
          <w:sz w:val="30"/>
          <w:szCs w:val="30"/>
          <w:lang w:val="en-US" w:eastAsia="zh-CN" w:bidi="ar-SA"/>
        </w:rPr>
        <w:drawing>
          <wp:anchor distT="0" distB="0" distL="114300" distR="114300" simplePos="0" relativeHeight="251660288" behindDoc="0" locked="0" layoutInCell="1" allowOverlap="1">
            <wp:simplePos x="0" y="0"/>
            <wp:positionH relativeFrom="column">
              <wp:posOffset>3066415</wp:posOffset>
            </wp:positionH>
            <wp:positionV relativeFrom="paragraph">
              <wp:posOffset>104140</wp:posOffset>
            </wp:positionV>
            <wp:extent cx="2012315" cy="1583055"/>
            <wp:effectExtent l="0" t="0" r="14605" b="1905"/>
            <wp:wrapNone/>
            <wp:docPr id="2" name="图片 1" descr="J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JH14"/>
                    <pic:cNvPicPr>
                      <a:picLocks noChangeAspect="1"/>
                    </pic:cNvPicPr>
                  </pic:nvPicPr>
                  <pic:blipFill>
                    <a:blip r:embed="rId13"/>
                    <a:stretch>
                      <a:fillRect/>
                    </a:stretch>
                  </pic:blipFill>
                  <pic:spPr>
                    <a:xfrm>
                      <a:off x="0" y="0"/>
                      <a:ext cx="2012315" cy="1583055"/>
                    </a:xfrm>
                    <a:prstGeom prst="rect">
                      <a:avLst/>
                    </a:prstGeom>
                    <a:noFill/>
                    <a:ln>
                      <a:noFill/>
                    </a:ln>
                  </pic:spPr>
                </pic:pic>
              </a:graphicData>
            </a:graphic>
          </wp:anchor>
        </w:drawing>
      </w:r>
      <w:r>
        <w:rPr>
          <w:rFonts w:hint="eastAsia" w:ascii="宋体" w:hAnsi="宋体" w:eastAsia="宋体" w:cs="宋体"/>
          <w:b/>
          <w:bCs/>
          <w:color w:val="auto"/>
          <w:kern w:val="2"/>
          <w:sz w:val="30"/>
          <w:szCs w:val="30"/>
          <w:lang w:val="en-US" w:eastAsia="zh-CN" w:bidi="ar-SA"/>
        </w:rPr>
        <w:t>1.普通病床1</w:t>
      </w:r>
    </w:p>
    <w:p w14:paraId="31E7C9C8">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drawing>
          <wp:anchor distT="0" distB="0" distL="114300" distR="114300" simplePos="0" relativeHeight="251659264" behindDoc="0" locked="0" layoutInCell="1" allowOverlap="1">
            <wp:simplePos x="0" y="0"/>
            <wp:positionH relativeFrom="column">
              <wp:posOffset>285115</wp:posOffset>
            </wp:positionH>
            <wp:positionV relativeFrom="paragraph">
              <wp:posOffset>130175</wp:posOffset>
            </wp:positionV>
            <wp:extent cx="2405380" cy="1388110"/>
            <wp:effectExtent l="0" t="0" r="2540" b="13970"/>
            <wp:wrapSquare wrapText="bothSides"/>
            <wp:docPr id="1" name="图片 5" descr="4月21九九医疗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4月21九九医疗3234"/>
                    <pic:cNvPicPr>
                      <a:picLocks noChangeAspect="1"/>
                    </pic:cNvPicPr>
                  </pic:nvPicPr>
                  <pic:blipFill>
                    <a:blip r:embed="rId14"/>
                    <a:stretch>
                      <a:fillRect/>
                    </a:stretch>
                  </pic:blipFill>
                  <pic:spPr>
                    <a:xfrm>
                      <a:off x="0" y="0"/>
                      <a:ext cx="2405380" cy="1388110"/>
                    </a:xfrm>
                    <a:prstGeom prst="rect">
                      <a:avLst/>
                    </a:prstGeom>
                    <a:noFill/>
                    <a:ln>
                      <a:noFill/>
                    </a:ln>
                  </pic:spPr>
                </pic:pic>
              </a:graphicData>
            </a:graphic>
          </wp:anchor>
        </w:drawing>
      </w:r>
    </w:p>
    <w:p w14:paraId="746EB4E1">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588D7C18">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6A84D817">
      <w:pPr>
        <w:pStyle w:val="5"/>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7677D5AB">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5CEE98F1">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76B06B77">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4C44AD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1.1.规格尺寸： 2150*900*520mm±10mm</w:t>
      </w:r>
    </w:p>
    <w:p w14:paraId="4AE6A74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2.配置清单：手摇式三折病床床体1张、ABS床头板1副、ABS护栏2片、床边引流挂钩2个、床垫限位杆1个、三折床垫1张、静音脚轮4个、翻转餐桌板1个。</w:t>
      </w:r>
    </w:p>
    <w:p w14:paraId="2EF82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1.3.床面额定载荷240KG，有效载荷≥520KG。</w:t>
      </w:r>
      <w:r>
        <w:rPr>
          <w:rFonts w:hint="eastAsia" w:ascii="宋体" w:hAnsi="宋体" w:eastAsia="宋体" w:cs="宋体"/>
          <w:b w:val="0"/>
          <w:bCs w:val="0"/>
          <w:color w:val="FF0000"/>
          <w:kern w:val="2"/>
          <w:sz w:val="24"/>
          <w:szCs w:val="24"/>
          <w:lang w:val="en-US" w:eastAsia="zh-CN" w:bidi="ar-SA"/>
        </w:rPr>
        <w:t>（提供第三方检测报告复印件）</w:t>
      </w:r>
    </w:p>
    <w:p w14:paraId="7DF756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1.4.床头尾板采用全新</w:t>
      </w:r>
      <w:r>
        <w:rPr>
          <w:rFonts w:hint="eastAsia" w:ascii="宋体" w:hAnsi="宋体" w:cs="宋体"/>
          <w:b w:val="0"/>
          <w:bCs w:val="0"/>
          <w:color w:val="auto"/>
          <w:kern w:val="2"/>
          <w:sz w:val="24"/>
          <w:szCs w:val="24"/>
          <w:lang w:val="en-US" w:eastAsia="zh-CN" w:bidi="ar-SA"/>
        </w:rPr>
        <w:t>PP</w:t>
      </w:r>
      <w:r>
        <w:rPr>
          <w:rFonts w:hint="eastAsia" w:ascii="宋体" w:hAnsi="宋体" w:eastAsia="宋体" w:cs="宋体"/>
          <w:b w:val="0"/>
          <w:bCs w:val="0"/>
          <w:color w:val="auto"/>
          <w:kern w:val="2"/>
          <w:sz w:val="24"/>
          <w:szCs w:val="24"/>
          <w:lang w:val="en-US" w:eastAsia="zh-CN" w:bidi="ar-SA"/>
        </w:rPr>
        <w:t>材质，耐腐蚀、抗老化、坚固，一次吹塑成型，背部为3M胶贴纸（颜色可选），床四角处带防撞轮，避免直接碰撞硬物，配置亚克力床头卡。挂板式结构，可拆卸，便于护理操作。</w:t>
      </w:r>
    </w:p>
    <w:p w14:paraId="612C36D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1.5.床框采用≥30×70×1.5mm优质冷轧钢管。</w:t>
      </w:r>
    </w:p>
    <w:p w14:paraId="5113A2E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1.6.腿部、背部升降系统采用双支撑结构，有效分散承重力，支撑顶端采用滑轮结构，使用轻便。</w:t>
      </w:r>
    </w:p>
    <w:p w14:paraId="6D5D301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1.7.升降系统横管采用≥厚度2.0mm优质无缝碳素钢管，背部升降双支撑采用≥30×60×1.2mm优质碳钢矩形管。</w:t>
      </w:r>
    </w:p>
    <w:p w14:paraId="0B2C04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1.8.床脚架采用≥30×50×1.2mm优质碳钢矩形管，脚架为整体焊接结构，具备高度防撞能力，保证长久使用稳固。脚轮采用Φ125带刹双面全塑白色静音脚轮。负载能力:单只脚轮轮动载100kg，静载125kg。</w:t>
      </w:r>
    </w:p>
    <w:p w14:paraId="480B21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1.9.床面板采用≥厚度1.0mm优质冷轧钢板一次压制成型，坚固、实用，带透气孔，床面内四方采用≥30×30×1.0mm优质碳钢矩形管加强，床面各段使用全钢件连接，钢件外部套用塑料件，减少长期使用升降中产生噪音，避免塑料件承重、摩擦易损坏。</w:t>
      </w:r>
    </w:p>
    <w:p w14:paraId="59D56B0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1.10.背板折起角度0º-80º±5º，腿板折起角度0º-50º±5º。</w:t>
      </w:r>
    </w:p>
    <w:p w14:paraId="07BC557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1.11.摇把采用ASB工程塑料一次注塑成型，摇把具有防撞结构设计，在摇把不使用状态下手柄和摇把座之间可以合起，在摇把使用时手柄和摇把座之间可以形成180°，遇到碰撞和外力时手柄和摇把座之间可以展开。手柄可0°～180°折叠，摇动灵活，无卡阻。摇把和丝杆之间采用“万向接”连接技术，“万向接”为钢件。手摇床丝杆有双向过盈保护装置，丝杆采用机器一次性冷挤压成型。连续升降15000次，测试后结构应完好，丝杆不应有失效。启动扭矩≤1.0Nm。</w:t>
      </w:r>
    </w:p>
    <w:p w14:paraId="2A1C3C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1.12.两片PE材质升降安全护栏，长宽相配，表面光滑；阻尼器控制速度及噪音,护栏开关采用卡钩紧锁,护栏支撑主体（护栏与床体连接处），支撑部件采用钢板一次冲压成型。</w:t>
      </w:r>
    </w:p>
    <w:p w14:paraId="0A1DA5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1.13.床体与床面板二氧化碳保护焊焊接，牢固、可靠，传动受力处采用机器人焊接。</w:t>
      </w:r>
    </w:p>
    <w:p w14:paraId="170BE69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1.14.病床表面处理：床体表层为喷塑结构，床面板通过连续150小时以上盐雾测试试验后面板无裂纹、无锈蚀、光滑无变化。</w:t>
      </w:r>
    </w:p>
    <w:p w14:paraId="095C098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1.15.床体头尾处均带输液架插孔（共4个），床框两侧带引流挂钩2个。</w:t>
      </w:r>
    </w:p>
    <w:p w14:paraId="5196DD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1.16.带碳钢杂物架，床脚架一体结构，避免病床推动产生噪音、脱落现象，方便护理统一管理。</w:t>
      </w:r>
    </w:p>
    <w:p w14:paraId="3C0D813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1.17.配翻转餐桌板，餐板支架两侧有锁紧装置，餐桌板在不用时可收放床尾。</w:t>
      </w:r>
    </w:p>
    <w:p w14:paraId="3EDB384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1.18.床垫厚度70mm，配套床垫由高密度海绵和椰棕组成，内衬优质海绵厚度40mm，椰棕厚度 30mm，床垫外套可拆洗，由优质防水布制作。床垫海绵甲醛含量≦100mg/Kg,PH值4.0-9.0，回弹率≧39%，可分解致癌物≦10mg/Kg；椰棕采用环保棕垫，棕垫甲醛释放量≦0.03mg/㎡.h（提供第三方检测报告复印件），产品材质抗细菌滋生，除菌率（大肠杆菌、金黄色葡萄球菌）＞99%。，床套面料具有防螨、阻燃功能，符合GB/T24253-2009、GB/T5455-2014标准</w:t>
      </w:r>
      <w:r>
        <w:rPr>
          <w:rFonts w:hint="eastAsia" w:ascii="宋体" w:hAnsi="宋体" w:cs="宋体"/>
          <w:b w:val="0"/>
          <w:bCs w:val="0"/>
          <w:color w:val="auto"/>
          <w:kern w:val="2"/>
          <w:sz w:val="24"/>
          <w:szCs w:val="24"/>
          <w:lang w:val="en-US" w:eastAsia="zh-CN" w:bidi="ar-SA"/>
        </w:rPr>
        <w:t>。</w:t>
      </w:r>
    </w:p>
    <w:p w14:paraId="1DE2A119">
      <w:pPr>
        <w:ind w:left="0" w:leftChars="0" w:firstLine="419" w:firstLineChars="139"/>
        <w:rPr>
          <w:rFonts w:hint="default" w:ascii="宋体" w:hAnsi="宋体" w:eastAsia="宋体" w:cs="宋体"/>
          <w:b/>
          <w:bCs/>
          <w:color w:val="auto"/>
          <w:sz w:val="30"/>
          <w:szCs w:val="30"/>
          <w:lang w:val="en-US" w:eastAsia="zh-CN"/>
        </w:rPr>
      </w:pPr>
      <w:r>
        <w:rPr>
          <w:rFonts w:hint="eastAsia" w:ascii="宋体" w:hAnsi="宋体" w:eastAsia="宋体" w:cs="宋体"/>
          <w:b/>
          <w:bCs/>
          <w:color w:val="auto"/>
          <w:sz w:val="30"/>
          <w:szCs w:val="30"/>
          <w:lang w:val="en-US" w:eastAsia="zh-CN"/>
        </w:rPr>
        <w:t>2.普通病床2</w:t>
      </w:r>
    </w:p>
    <w:p w14:paraId="45144C36">
      <w:pPr>
        <w:jc w:val="center"/>
        <w:rPr>
          <w:rFonts w:hint="eastAsia" w:ascii="仿宋" w:hAnsi="仿宋" w:eastAsia="仿宋" w:cs="宋体"/>
          <w:b/>
          <w:bCs/>
          <w:kern w:val="0"/>
          <w:sz w:val="24"/>
          <w:lang w:eastAsia="zh-CN"/>
        </w:rPr>
      </w:pPr>
      <w:r>
        <w:rPr>
          <w:rFonts w:hint="eastAsia" w:ascii="仿宋" w:hAnsi="仿宋" w:eastAsia="仿宋" w:cs="宋体"/>
          <w:b/>
          <w:bCs/>
          <w:kern w:val="0"/>
          <w:sz w:val="24"/>
          <w:lang w:eastAsia="zh-CN"/>
        </w:rPr>
        <w:drawing>
          <wp:inline distT="0" distB="0" distL="114300" distR="114300">
            <wp:extent cx="2894965" cy="1618615"/>
            <wp:effectExtent l="0" t="0" r="635" b="12065"/>
            <wp:docPr id="3" name="图片 2" descr="BC-I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BC-II-03"/>
                    <pic:cNvPicPr>
                      <a:picLocks noChangeAspect="1"/>
                    </pic:cNvPicPr>
                  </pic:nvPicPr>
                  <pic:blipFill>
                    <a:blip r:embed="rId15"/>
                    <a:stretch>
                      <a:fillRect/>
                    </a:stretch>
                  </pic:blipFill>
                  <pic:spPr>
                    <a:xfrm>
                      <a:off x="0" y="0"/>
                      <a:ext cx="2894965" cy="1618615"/>
                    </a:xfrm>
                    <a:prstGeom prst="rect">
                      <a:avLst/>
                    </a:prstGeom>
                    <a:noFill/>
                    <a:ln>
                      <a:noFill/>
                    </a:ln>
                  </pic:spPr>
                </pic:pic>
              </a:graphicData>
            </a:graphic>
          </wp:inline>
        </w:drawing>
      </w:r>
      <w:r>
        <w:rPr>
          <w:rFonts w:hint="eastAsia" w:ascii="仿宋" w:hAnsi="仿宋" w:eastAsia="仿宋" w:cs="宋体"/>
          <w:b/>
          <w:bCs/>
          <w:kern w:val="0"/>
          <w:sz w:val="24"/>
          <w:lang w:eastAsia="zh-CN"/>
        </w:rPr>
        <w:drawing>
          <wp:inline distT="0" distB="0" distL="114300" distR="114300">
            <wp:extent cx="1308735" cy="991870"/>
            <wp:effectExtent l="0" t="0" r="1905" b="13970"/>
            <wp:docPr id="5" name="图片 3" descr="CD-JL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D-JL14"/>
                    <pic:cNvPicPr>
                      <a:picLocks noChangeAspect="1"/>
                    </pic:cNvPicPr>
                  </pic:nvPicPr>
                  <pic:blipFill>
                    <a:blip r:embed="rId16"/>
                    <a:stretch>
                      <a:fillRect/>
                    </a:stretch>
                  </pic:blipFill>
                  <pic:spPr>
                    <a:xfrm>
                      <a:off x="0" y="0"/>
                      <a:ext cx="1308735" cy="991870"/>
                    </a:xfrm>
                    <a:prstGeom prst="rect">
                      <a:avLst/>
                    </a:prstGeom>
                    <a:noFill/>
                    <a:ln>
                      <a:noFill/>
                    </a:ln>
                  </pic:spPr>
                </pic:pic>
              </a:graphicData>
            </a:graphic>
          </wp:inline>
        </w:drawing>
      </w:r>
    </w:p>
    <w:p w14:paraId="0C2D5710">
      <w:pPr>
        <w:jc w:val="center"/>
        <w:rPr>
          <w:rFonts w:hint="eastAsia" w:ascii="宋体" w:hAnsi="宋体" w:eastAsia="宋体" w:cs="宋体"/>
          <w:b w:val="0"/>
          <w:bCs w:val="0"/>
          <w:kern w:val="0"/>
          <w:sz w:val="30"/>
          <w:szCs w:val="30"/>
          <w:lang w:val="en-US" w:eastAsia="zh-CN"/>
        </w:rPr>
      </w:pPr>
    </w:p>
    <w:p w14:paraId="7494CC92">
      <w:pPr>
        <w:jc w:val="center"/>
        <w:rPr>
          <w:rFonts w:hint="eastAsia" w:ascii="宋体" w:hAnsi="宋体" w:eastAsia="宋体" w:cs="宋体"/>
          <w:b w:val="0"/>
          <w:bCs w:val="0"/>
          <w:kern w:val="0"/>
          <w:sz w:val="30"/>
          <w:szCs w:val="30"/>
          <w:lang w:val="en-US" w:eastAsia="zh-CN"/>
        </w:rPr>
      </w:pPr>
      <w:r>
        <w:rPr>
          <w:rFonts w:hint="eastAsia" w:ascii="宋体" w:hAnsi="宋体" w:eastAsia="宋体" w:cs="宋体"/>
          <w:b w:val="0"/>
          <w:bCs w:val="0"/>
          <w:kern w:val="0"/>
          <w:sz w:val="30"/>
          <w:szCs w:val="30"/>
          <w:lang w:val="en-US" w:eastAsia="zh-CN"/>
        </w:rPr>
        <w:drawing>
          <wp:inline distT="0" distB="0" distL="114300" distR="114300">
            <wp:extent cx="2976880" cy="2254250"/>
            <wp:effectExtent l="0" t="0" r="10160" b="1270"/>
            <wp:docPr id="6" name="图片 4" descr="7609e44b9b367183a60c051381fbc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7609e44b9b367183a60c051381fbc026"/>
                    <pic:cNvPicPr>
                      <a:picLocks noChangeAspect="1"/>
                    </pic:cNvPicPr>
                  </pic:nvPicPr>
                  <pic:blipFill>
                    <a:blip r:embed="rId17"/>
                    <a:stretch>
                      <a:fillRect/>
                    </a:stretch>
                  </pic:blipFill>
                  <pic:spPr>
                    <a:xfrm>
                      <a:off x="0" y="0"/>
                      <a:ext cx="2976880" cy="2254250"/>
                    </a:xfrm>
                    <a:prstGeom prst="rect">
                      <a:avLst/>
                    </a:prstGeom>
                    <a:noFill/>
                    <a:ln>
                      <a:noFill/>
                    </a:ln>
                  </pic:spPr>
                </pic:pic>
              </a:graphicData>
            </a:graphic>
          </wp:inline>
        </w:drawing>
      </w:r>
    </w:p>
    <w:p w14:paraId="01DB818F">
      <w:pPr>
        <w:jc w:val="center"/>
        <w:rPr>
          <w:rFonts w:hint="eastAsia" w:ascii="宋体" w:hAnsi="宋体" w:eastAsia="宋体" w:cs="宋体"/>
          <w:b w:val="0"/>
          <w:bCs w:val="0"/>
          <w:kern w:val="0"/>
          <w:sz w:val="30"/>
          <w:szCs w:val="30"/>
          <w:lang w:val="en-US" w:eastAsia="zh-CN"/>
        </w:rPr>
      </w:pPr>
    </w:p>
    <w:p w14:paraId="6426F198">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2.1.</w:t>
      </w:r>
      <w:r>
        <w:rPr>
          <w:rFonts w:hint="eastAsia" w:ascii="宋体" w:hAnsi="宋体" w:eastAsia="宋体" w:cs="宋体"/>
          <w:b w:val="0"/>
          <w:bCs w:val="0"/>
          <w:kern w:val="0"/>
          <w:sz w:val="24"/>
          <w:szCs w:val="24"/>
          <w:lang w:val="en-US" w:eastAsia="zh-CN"/>
        </w:rPr>
        <w:t>手摇式病床，</w:t>
      </w:r>
      <w:r>
        <w:rPr>
          <w:rFonts w:hint="eastAsia" w:ascii="宋体" w:hAnsi="宋体" w:eastAsia="宋体" w:cs="宋体"/>
          <w:b w:val="0"/>
          <w:bCs w:val="0"/>
          <w:color w:val="auto"/>
          <w:sz w:val="24"/>
          <w:szCs w:val="24"/>
        </w:rPr>
        <w:t>规格：</w:t>
      </w:r>
      <w:r>
        <w:rPr>
          <w:rFonts w:hint="eastAsia" w:ascii="宋体" w:hAnsi="宋体" w:cs="宋体"/>
          <w:b w:val="0"/>
          <w:bCs w:val="0"/>
          <w:color w:val="auto"/>
          <w:sz w:val="24"/>
          <w:szCs w:val="24"/>
          <w:lang w:val="en-US" w:eastAsia="zh-CN"/>
        </w:rPr>
        <w:t>1900</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val="en-US" w:eastAsia="zh-CN"/>
        </w:rPr>
        <w:t>850</w:t>
      </w:r>
      <w:r>
        <w:rPr>
          <w:rFonts w:hint="eastAsia" w:ascii="宋体" w:hAnsi="宋体" w:eastAsia="宋体" w:cs="宋体"/>
          <w:b w:val="0"/>
          <w:bCs w:val="0"/>
          <w:color w:val="auto"/>
          <w:sz w:val="24"/>
          <w:szCs w:val="24"/>
        </w:rPr>
        <w:t>×500</w:t>
      </w:r>
      <w:r>
        <w:rPr>
          <w:rFonts w:hint="eastAsia" w:ascii="宋体" w:hAnsi="宋体" w:cs="宋体"/>
          <w:b w:val="0"/>
          <w:bCs w:val="0"/>
          <w:color w:val="auto"/>
          <w:sz w:val="24"/>
          <w:szCs w:val="24"/>
          <w:lang w:val="en-US" w:eastAsia="zh-CN"/>
        </w:rPr>
        <w:t>mm</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10mm</w:t>
      </w:r>
    </w:p>
    <w:p w14:paraId="03D43519">
      <w:pPr>
        <w:pStyle w:val="2"/>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b w:val="0"/>
          <w:bCs w:val="0"/>
          <w:color w:val="auto"/>
          <w:sz w:val="24"/>
          <w:szCs w:val="24"/>
          <w:lang w:val="en-US"/>
        </w:rPr>
      </w:pPr>
      <w:r>
        <w:rPr>
          <w:rFonts w:hint="eastAsia" w:ascii="宋体" w:hAnsi="宋体" w:cs="宋体"/>
          <w:b w:val="0"/>
          <w:bCs w:val="0"/>
          <w:color w:val="auto"/>
          <w:sz w:val="24"/>
          <w:szCs w:val="24"/>
          <w:lang w:val="en-US" w:eastAsia="zh-CN"/>
        </w:rPr>
        <w:t>2.2.</w:t>
      </w:r>
      <w:r>
        <w:rPr>
          <w:rFonts w:hint="eastAsia" w:ascii="宋体" w:hAnsi="宋体" w:cs="宋体"/>
          <w:b w:val="0"/>
          <w:bCs w:val="0"/>
          <w:color w:val="auto"/>
          <w:sz w:val="24"/>
          <w:szCs w:val="24"/>
          <w:lang w:eastAsia="zh-CN"/>
        </w:rPr>
        <w:t>床框采用≥</w:t>
      </w:r>
      <w:r>
        <w:rPr>
          <w:rFonts w:hint="eastAsia" w:ascii="宋体" w:hAnsi="宋体" w:cs="宋体"/>
          <w:b w:val="0"/>
          <w:bCs w:val="0"/>
          <w:color w:val="auto"/>
          <w:sz w:val="24"/>
          <w:szCs w:val="24"/>
          <w:lang w:val="en-US" w:eastAsia="zh-CN"/>
        </w:rPr>
        <w:t>3</w:t>
      </w:r>
      <w:r>
        <w:rPr>
          <w:rFonts w:hint="eastAsia" w:ascii="宋体" w:hAnsi="宋体" w:cs="宋体"/>
          <w:b w:val="0"/>
          <w:bCs w:val="0"/>
          <w:color w:val="auto"/>
          <w:sz w:val="24"/>
          <w:szCs w:val="24"/>
          <w:lang w:eastAsia="zh-CN"/>
        </w:rPr>
        <w:t>0×</w:t>
      </w:r>
      <w:r>
        <w:rPr>
          <w:rFonts w:hint="eastAsia" w:ascii="宋体" w:hAnsi="宋体" w:cs="宋体"/>
          <w:b w:val="0"/>
          <w:bCs w:val="0"/>
          <w:color w:val="auto"/>
          <w:sz w:val="24"/>
          <w:szCs w:val="24"/>
          <w:lang w:val="en-US" w:eastAsia="zh-CN"/>
        </w:rPr>
        <w:t>7</w:t>
      </w:r>
      <w:r>
        <w:rPr>
          <w:rFonts w:hint="eastAsia" w:ascii="宋体" w:hAnsi="宋体" w:cs="宋体"/>
          <w:b w:val="0"/>
          <w:bCs w:val="0"/>
          <w:color w:val="auto"/>
          <w:sz w:val="24"/>
          <w:szCs w:val="24"/>
          <w:lang w:eastAsia="zh-CN"/>
        </w:rPr>
        <w:t>0×1.5mm冷轧钢管</w:t>
      </w:r>
      <w:r>
        <w:rPr>
          <w:rFonts w:hint="eastAsia" w:ascii="宋体" w:hAnsi="宋体" w:cs="宋体"/>
          <w:b w:val="0"/>
          <w:bCs w:val="0"/>
          <w:color w:val="auto"/>
          <w:sz w:val="24"/>
          <w:szCs w:val="24"/>
          <w:lang w:val="en-US" w:eastAsia="zh-CN"/>
        </w:rPr>
        <w:t>焊接而成；</w:t>
      </w:r>
      <w:r>
        <w:rPr>
          <w:rFonts w:hint="eastAsia" w:ascii="宋体" w:hAnsi="宋体" w:cs="宋体"/>
          <w:b w:val="0"/>
          <w:bCs w:val="0"/>
          <w:color w:val="auto"/>
          <w:sz w:val="24"/>
          <w:szCs w:val="24"/>
          <w:lang w:eastAsia="zh-CN"/>
        </w:rPr>
        <w:t>床脚架采用≥</w:t>
      </w:r>
      <w:r>
        <w:rPr>
          <w:rFonts w:hint="eastAsia" w:ascii="宋体" w:hAnsi="宋体" w:cs="宋体"/>
          <w:b w:val="0"/>
          <w:bCs w:val="0"/>
          <w:color w:val="auto"/>
          <w:sz w:val="24"/>
          <w:szCs w:val="24"/>
          <w:lang w:val="en-US" w:eastAsia="zh-CN"/>
        </w:rPr>
        <w:t>5</w:t>
      </w:r>
      <w:r>
        <w:rPr>
          <w:rFonts w:hint="eastAsia" w:ascii="宋体" w:hAnsi="宋体" w:cs="宋体"/>
          <w:b w:val="0"/>
          <w:bCs w:val="0"/>
          <w:color w:val="auto"/>
          <w:sz w:val="24"/>
          <w:szCs w:val="24"/>
          <w:lang w:eastAsia="zh-CN"/>
        </w:rPr>
        <w:t>0×50×1.2mm碳钢矩形管</w:t>
      </w:r>
      <w:r>
        <w:rPr>
          <w:rFonts w:hint="eastAsia" w:ascii="宋体" w:hAnsi="宋体" w:cs="宋体"/>
          <w:b w:val="0"/>
          <w:bCs w:val="0"/>
          <w:color w:val="auto"/>
          <w:sz w:val="24"/>
          <w:szCs w:val="24"/>
          <w:lang w:val="en-US" w:eastAsia="zh-CN"/>
        </w:rPr>
        <w:t>焊接而成</w:t>
      </w:r>
      <w:r>
        <w:rPr>
          <w:rFonts w:hint="eastAsia" w:ascii="宋体" w:hAnsi="宋体" w:cs="宋体"/>
          <w:b w:val="0"/>
          <w:bCs w:val="0"/>
          <w:color w:val="auto"/>
          <w:sz w:val="24"/>
          <w:szCs w:val="24"/>
          <w:lang w:eastAsia="zh-CN"/>
        </w:rPr>
        <w:t>；升降系统横管采用≥厚度2.0mm无缝碳钢管</w:t>
      </w:r>
      <w:r>
        <w:rPr>
          <w:rFonts w:hint="eastAsia" w:ascii="宋体" w:hAnsi="宋体" w:cs="宋体"/>
          <w:b w:val="0"/>
          <w:bCs w:val="0"/>
          <w:color w:val="auto"/>
          <w:sz w:val="24"/>
          <w:szCs w:val="24"/>
          <w:lang w:val="en-US" w:eastAsia="zh-CN"/>
        </w:rPr>
        <w:t>焊接组成</w:t>
      </w:r>
      <w:r>
        <w:rPr>
          <w:rFonts w:hint="eastAsia" w:ascii="宋体" w:hAnsi="宋体" w:cs="宋体"/>
          <w:b w:val="0"/>
          <w:bCs w:val="0"/>
          <w:color w:val="auto"/>
          <w:sz w:val="24"/>
          <w:szCs w:val="24"/>
          <w:lang w:eastAsia="zh-CN"/>
        </w:rPr>
        <w:t>，背部升降双支撑采用≥30×60×1.2mm碳钢矩形管</w:t>
      </w:r>
      <w:r>
        <w:rPr>
          <w:rFonts w:hint="eastAsia" w:ascii="宋体" w:hAnsi="宋体" w:cs="宋体"/>
          <w:b w:val="0"/>
          <w:bCs w:val="0"/>
          <w:color w:val="auto"/>
          <w:sz w:val="24"/>
          <w:szCs w:val="24"/>
          <w:lang w:val="en-US" w:eastAsia="zh-CN"/>
        </w:rPr>
        <w:t>焊接组成，</w:t>
      </w:r>
      <w:r>
        <w:rPr>
          <w:rFonts w:hint="eastAsia" w:ascii="宋体" w:hAnsi="宋体" w:eastAsia="宋体" w:cs="宋体"/>
          <w:b w:val="0"/>
          <w:bCs w:val="0"/>
          <w:color w:val="auto"/>
          <w:sz w:val="24"/>
          <w:szCs w:val="24"/>
          <w:lang w:val="en-US" w:eastAsia="zh-CN"/>
        </w:rPr>
        <w:t>钢管符合GB/T 228.1-2021：抗拉强度≥400Mpa、上屈服强度≥200Mpa、断后伸长率＞20%</w:t>
      </w:r>
      <w:r>
        <w:rPr>
          <w:rFonts w:hint="eastAsia" w:ascii="宋体" w:hAnsi="宋体" w:eastAsia="宋体" w:cs="宋体"/>
          <w:b w:val="0"/>
          <w:bCs w:val="0"/>
          <w:color w:val="auto"/>
          <w:sz w:val="24"/>
          <w:szCs w:val="24"/>
          <w:lang w:eastAsia="zh-CN"/>
        </w:rPr>
        <w:t>；</w:t>
      </w:r>
    </w:p>
    <w:p w14:paraId="5A2312C9">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2.3.</w:t>
      </w:r>
      <w:r>
        <w:rPr>
          <w:rFonts w:hint="eastAsia" w:ascii="宋体" w:hAnsi="宋体" w:eastAsia="宋体" w:cs="宋体"/>
          <w:b w:val="0"/>
          <w:bCs w:val="0"/>
          <w:color w:val="auto"/>
          <w:sz w:val="24"/>
          <w:szCs w:val="24"/>
        </w:rPr>
        <w:t>床头中部蓝色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摇手柄均为</w:t>
      </w:r>
      <w:r>
        <w:rPr>
          <w:rFonts w:hint="eastAsia" w:ascii="宋体" w:hAnsi="宋体" w:eastAsia="宋体" w:cs="宋体"/>
          <w:b w:val="0"/>
          <w:bCs w:val="0"/>
          <w:color w:val="auto"/>
          <w:sz w:val="24"/>
          <w:szCs w:val="24"/>
          <w:lang w:eastAsia="zh-CN"/>
        </w:rPr>
        <w:t>杏色，</w:t>
      </w:r>
      <w:r>
        <w:rPr>
          <w:rFonts w:hint="eastAsia" w:ascii="宋体" w:hAnsi="宋体" w:eastAsia="宋体" w:cs="宋体"/>
          <w:b w:val="0"/>
          <w:bCs w:val="0"/>
          <w:color w:val="auto"/>
          <w:sz w:val="24"/>
          <w:szCs w:val="24"/>
        </w:rPr>
        <w:t>护栏装饰件、</w:t>
      </w:r>
      <w:r>
        <w:rPr>
          <w:rFonts w:hint="eastAsia" w:ascii="宋体" w:hAnsi="宋体" w:eastAsia="宋体" w:cs="宋体"/>
          <w:b w:val="0"/>
          <w:bCs w:val="0"/>
          <w:color w:val="auto"/>
          <w:sz w:val="24"/>
          <w:szCs w:val="24"/>
          <w:lang w:eastAsia="zh-CN"/>
        </w:rPr>
        <w:t>床头板边角</w:t>
      </w:r>
      <w:r>
        <w:rPr>
          <w:rFonts w:hint="eastAsia" w:ascii="宋体" w:hAnsi="宋体" w:eastAsia="宋体" w:cs="宋体"/>
          <w:b w:val="0"/>
          <w:bCs w:val="0"/>
          <w:color w:val="auto"/>
          <w:sz w:val="24"/>
          <w:szCs w:val="24"/>
        </w:rPr>
        <w:t>均为蓝色。</w:t>
      </w:r>
    </w:p>
    <w:p w14:paraId="29784C5A">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sz w:val="24"/>
          <w:szCs w:val="24"/>
          <w:lang w:val="en-US" w:eastAsia="zh-CN"/>
        </w:rPr>
        <w:t>2.4.</w:t>
      </w:r>
      <w:r>
        <w:rPr>
          <w:rFonts w:hint="eastAsia" w:ascii="宋体" w:hAnsi="宋体" w:cs="宋体"/>
          <w:b w:val="0"/>
          <w:bCs w:val="0"/>
          <w:color w:val="auto"/>
          <w:sz w:val="24"/>
          <w:szCs w:val="24"/>
          <w:lang w:eastAsia="zh-CN"/>
        </w:rPr>
        <w:t>床头尾板采用</w:t>
      </w:r>
      <w:r>
        <w:rPr>
          <w:rFonts w:hint="eastAsia" w:ascii="宋体" w:hAnsi="宋体" w:cs="宋体"/>
          <w:b w:val="0"/>
          <w:bCs w:val="0"/>
          <w:color w:val="auto"/>
          <w:sz w:val="24"/>
          <w:szCs w:val="24"/>
          <w:lang w:val="en-US" w:eastAsia="zh-CN"/>
        </w:rPr>
        <w:t>全新无毒ABS材质</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材料应符合</w:t>
      </w:r>
      <w:r>
        <w:rPr>
          <w:rFonts w:hint="default" w:ascii="宋体" w:hAnsi="宋体" w:cs="宋体"/>
          <w:b w:val="0"/>
          <w:bCs w:val="0"/>
          <w:color w:val="auto"/>
          <w:kern w:val="0"/>
          <w:sz w:val="24"/>
          <w:szCs w:val="24"/>
          <w:lang w:val="en-US" w:eastAsia="zh-CN" w:bidi="ar"/>
        </w:rPr>
        <w:t>G</w:t>
      </w:r>
      <w:r>
        <w:rPr>
          <w:rFonts w:hint="eastAsia" w:ascii="宋体" w:hAnsi="宋体" w:cs="宋体"/>
          <w:b w:val="0"/>
          <w:bCs w:val="0"/>
          <w:color w:val="auto"/>
          <w:kern w:val="0"/>
          <w:sz w:val="24"/>
          <w:szCs w:val="24"/>
          <w:lang w:val="en-US" w:eastAsia="zh-CN" w:bidi="ar"/>
        </w:rPr>
        <w:t>B/T 31402-2023《塑料和其他无孔材料表面抗菌活性的测定》标准满足抗菌率：变异库克菌(变化考克氏菌）、幽门螺杆菌 ≥99.95%。</w:t>
      </w:r>
    </w:p>
    <w:p w14:paraId="77A24B7C">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2.5.床头床尾板采用全新强化ABS材质，一次注塑成型，产品应符合GB/T 3398.1-2008《塑料 硬度测定 第1部分:球压痕法》硬度(球压痕法)：≥370 N/mm2。</w:t>
      </w:r>
    </w:p>
    <w:p w14:paraId="497C3069">
      <w:pPr>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2.6.</w:t>
      </w:r>
      <w:r>
        <w:rPr>
          <w:rFonts w:hint="eastAsia" w:ascii="宋体" w:hAnsi="宋体" w:cs="宋体"/>
          <w:b w:val="0"/>
          <w:bCs w:val="0"/>
          <w:color w:val="auto"/>
          <w:sz w:val="24"/>
          <w:szCs w:val="24"/>
          <w:lang w:eastAsia="zh-CN"/>
        </w:rPr>
        <w:t>床四角处带防</w:t>
      </w:r>
      <w:r>
        <w:rPr>
          <w:rFonts w:hint="eastAsia" w:ascii="宋体" w:hAnsi="宋体" w:cs="宋体"/>
          <w:b w:val="0"/>
          <w:bCs w:val="0"/>
          <w:color w:val="auto"/>
          <w:sz w:val="24"/>
          <w:szCs w:val="24"/>
          <w:lang w:val="en-US" w:eastAsia="zh-CN"/>
        </w:rPr>
        <w:t>撞包角</w:t>
      </w:r>
      <w:r>
        <w:rPr>
          <w:rFonts w:hint="eastAsia" w:ascii="宋体" w:hAnsi="宋体" w:cs="宋体"/>
          <w:b w:val="0"/>
          <w:bCs w:val="0"/>
          <w:color w:val="auto"/>
          <w:sz w:val="24"/>
          <w:szCs w:val="24"/>
          <w:lang w:eastAsia="zh-CN"/>
        </w:rPr>
        <w:t>，避免直接碰撞硬物，床头中部内外均设置两个ABS扣板，ABS扣板采用模具成型咬合工艺，长久使用不变形不脱落挂板式结构，可拆卸，床尾比床头低100mm，便于护理操作。配置床头卡。</w:t>
      </w:r>
    </w:p>
    <w:p w14:paraId="350C6AC4">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2.7.</w:t>
      </w:r>
      <w:r>
        <w:rPr>
          <w:rFonts w:hint="eastAsia" w:ascii="宋体" w:hAnsi="宋体" w:cs="宋体"/>
          <w:b w:val="0"/>
          <w:bCs w:val="0"/>
          <w:color w:val="auto"/>
          <w:sz w:val="24"/>
          <w:szCs w:val="24"/>
          <w:lang w:eastAsia="zh-CN"/>
        </w:rPr>
        <w:t>腿部、背部升降系统采用</w:t>
      </w:r>
      <w:r>
        <w:rPr>
          <w:rFonts w:hint="eastAsia" w:ascii="宋体" w:hAnsi="宋体" w:cs="宋体"/>
          <w:b w:val="0"/>
          <w:bCs w:val="0"/>
          <w:color w:val="auto"/>
          <w:sz w:val="24"/>
          <w:szCs w:val="24"/>
          <w:lang w:val="en-US" w:eastAsia="zh-CN"/>
        </w:rPr>
        <w:t>45#一次挤压滚丝成型，具有双向过盈保护装置，</w:t>
      </w:r>
      <w:r>
        <w:rPr>
          <w:rFonts w:hint="eastAsia" w:ascii="宋体" w:hAnsi="宋体" w:cs="宋体"/>
          <w:b w:val="0"/>
          <w:bCs w:val="0"/>
          <w:color w:val="auto"/>
          <w:sz w:val="24"/>
          <w:szCs w:val="24"/>
          <w:lang w:eastAsia="zh-CN"/>
        </w:rPr>
        <w:t>双支撑结构，有效分散承重力，支撑顶端采用</w:t>
      </w:r>
      <w:r>
        <w:rPr>
          <w:rFonts w:hint="eastAsia" w:ascii="宋体" w:hAnsi="宋体" w:cs="宋体"/>
          <w:b w:val="0"/>
          <w:bCs w:val="0"/>
          <w:color w:val="auto"/>
          <w:sz w:val="24"/>
          <w:szCs w:val="24"/>
          <w:lang w:val="en-US" w:eastAsia="zh-CN"/>
        </w:rPr>
        <w:t>尼龙材质</w:t>
      </w:r>
      <w:r>
        <w:rPr>
          <w:rFonts w:hint="eastAsia" w:ascii="宋体" w:hAnsi="宋体" w:cs="宋体"/>
          <w:b w:val="0"/>
          <w:bCs w:val="0"/>
          <w:color w:val="auto"/>
          <w:sz w:val="24"/>
          <w:szCs w:val="24"/>
          <w:lang w:eastAsia="zh-CN"/>
        </w:rPr>
        <w:t>滑轮结构，</w:t>
      </w:r>
      <w:r>
        <w:rPr>
          <w:rFonts w:hint="eastAsia" w:ascii="宋体" w:hAnsi="宋体" w:cs="宋体"/>
          <w:b w:val="0"/>
          <w:bCs w:val="0"/>
          <w:color w:val="auto"/>
          <w:sz w:val="24"/>
          <w:szCs w:val="24"/>
          <w:lang w:val="en-US" w:eastAsia="zh-CN"/>
        </w:rPr>
        <w:t>抗老化，耐磨，</w:t>
      </w:r>
      <w:r>
        <w:rPr>
          <w:rFonts w:hint="eastAsia" w:ascii="宋体" w:hAnsi="宋体" w:cs="宋体"/>
          <w:b w:val="0"/>
          <w:bCs w:val="0"/>
          <w:color w:val="auto"/>
          <w:sz w:val="24"/>
          <w:szCs w:val="24"/>
          <w:lang w:eastAsia="zh-CN"/>
        </w:rPr>
        <w:t>使用轻便。</w:t>
      </w:r>
    </w:p>
    <w:p w14:paraId="36415365">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b w:val="0"/>
          <w:bCs w:val="0"/>
          <w:color w:val="auto"/>
          <w:sz w:val="24"/>
          <w:szCs w:val="24"/>
          <w:lang w:eastAsia="zh-CN"/>
        </w:rPr>
      </w:pPr>
      <w:r>
        <w:rPr>
          <w:rFonts w:hint="eastAsia" w:ascii="宋体" w:hAnsi="宋体" w:cs="宋体"/>
          <w:b w:val="0"/>
          <w:bCs w:val="0"/>
          <w:color w:val="auto"/>
          <w:sz w:val="24"/>
          <w:szCs w:val="24"/>
          <w:lang w:val="en-US" w:eastAsia="zh-CN"/>
        </w:rPr>
        <w:t>2.8.</w:t>
      </w:r>
      <w:r>
        <w:rPr>
          <w:rFonts w:hint="eastAsia" w:ascii="宋体" w:hAnsi="宋体" w:cs="宋体"/>
          <w:b w:val="0"/>
          <w:bCs w:val="0"/>
          <w:color w:val="auto"/>
          <w:sz w:val="24"/>
          <w:szCs w:val="24"/>
          <w:lang w:eastAsia="zh-CN"/>
        </w:rPr>
        <w:t>选用</w:t>
      </w:r>
      <w:r>
        <w:rPr>
          <w:rFonts w:hint="eastAsia" w:ascii="宋体" w:hAnsi="宋体" w:cs="宋体"/>
          <w:b w:val="0"/>
          <w:bCs w:val="0"/>
          <w:color w:val="auto"/>
          <w:sz w:val="24"/>
          <w:szCs w:val="24"/>
          <w:lang w:val="en-US" w:eastAsia="zh-CN"/>
        </w:rPr>
        <w:t>125mm</w:t>
      </w:r>
      <w:r>
        <w:rPr>
          <w:rFonts w:hint="eastAsia" w:ascii="宋体" w:hAnsi="宋体" w:cs="宋体"/>
          <w:b w:val="0"/>
          <w:bCs w:val="0"/>
          <w:color w:val="auto"/>
          <w:sz w:val="24"/>
          <w:szCs w:val="24"/>
          <w:lang w:eastAsia="zh-CN"/>
        </w:rPr>
        <w:t>万向刹车脚轮；轮面聚合材料，静音、耐磨。</w:t>
      </w:r>
    </w:p>
    <w:p w14:paraId="75D37468">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eastAsia"/>
          <w:b w:val="0"/>
          <w:bCs w:val="0"/>
          <w:color w:val="auto"/>
          <w:sz w:val="24"/>
          <w:szCs w:val="24"/>
        </w:rPr>
      </w:pPr>
      <w:r>
        <w:rPr>
          <w:rFonts w:hint="eastAsia" w:ascii="宋体" w:hAnsi="宋体" w:cs="宋体"/>
          <w:b w:val="0"/>
          <w:bCs w:val="0"/>
          <w:color w:val="auto"/>
          <w:sz w:val="24"/>
          <w:szCs w:val="24"/>
          <w:lang w:val="en-US" w:eastAsia="zh-CN"/>
        </w:rPr>
        <w:t>2.9.</w:t>
      </w:r>
      <w:r>
        <w:rPr>
          <w:rFonts w:hint="eastAsia" w:ascii="宋体" w:hAnsi="宋体" w:eastAsia="宋体" w:cs="宋体"/>
          <w:b w:val="0"/>
          <w:bCs w:val="0"/>
          <w:color w:val="auto"/>
          <w:sz w:val="24"/>
          <w:szCs w:val="24"/>
        </w:rPr>
        <w:t>床面板采用≥厚度1.0mm优质冷轧钢板一次压制成型，坚固、实用，带透气孔，床面内</w:t>
      </w:r>
      <w:r>
        <w:rPr>
          <w:rFonts w:hint="eastAsia" w:ascii="宋体" w:hAnsi="宋体" w:eastAsia="宋体" w:cs="宋体"/>
          <w:b w:val="0"/>
          <w:bCs w:val="0"/>
          <w:color w:val="auto"/>
          <w:sz w:val="24"/>
          <w:szCs w:val="24"/>
          <w:lang w:eastAsia="zh-CN"/>
        </w:rPr>
        <w:t>四方</w:t>
      </w:r>
      <w:r>
        <w:rPr>
          <w:rFonts w:hint="eastAsia" w:ascii="宋体" w:hAnsi="宋体" w:eastAsia="宋体" w:cs="宋体"/>
          <w:b w:val="0"/>
          <w:bCs w:val="0"/>
          <w:color w:val="auto"/>
          <w:sz w:val="24"/>
          <w:szCs w:val="24"/>
        </w:rPr>
        <w:t>采用≥</w:t>
      </w:r>
      <w:r>
        <w:rPr>
          <w:rFonts w:hint="eastAsia" w:ascii="宋体" w:hAnsi="宋体" w:cs="宋体"/>
          <w:b w:val="0"/>
          <w:bCs w:val="0"/>
          <w:color w:val="auto"/>
          <w:sz w:val="24"/>
          <w:szCs w:val="24"/>
          <w:lang w:eastAsia="zh-CN"/>
        </w:rPr>
        <w:t>30×20×1.0mm</w:t>
      </w:r>
      <w:r>
        <w:rPr>
          <w:rFonts w:hint="eastAsia" w:ascii="宋体" w:hAnsi="宋体" w:eastAsia="宋体" w:cs="宋体"/>
          <w:b w:val="0"/>
          <w:bCs w:val="0"/>
          <w:color w:val="auto"/>
          <w:sz w:val="24"/>
          <w:szCs w:val="24"/>
        </w:rPr>
        <w:t>优质碳钢矩形管加强，床面各段使用全钢件连接，钢件外部套用塑料件，减少长期使用升降中产生噪音，避免塑料件承重、摩擦易损坏。</w:t>
      </w:r>
      <w:r>
        <w:rPr>
          <w:rFonts w:hint="eastAsia" w:ascii="宋体" w:hAnsi="宋体" w:cs="宋体"/>
          <w:b w:val="0"/>
          <w:bCs w:val="0"/>
          <w:color w:val="auto"/>
          <w:sz w:val="24"/>
          <w:szCs w:val="24"/>
          <w:lang w:val="en-US" w:eastAsia="zh-CN"/>
        </w:rPr>
        <w:t>钢制床面板通过GB/T16886.5-2017</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医疗器械生物学评价体外细胞毒性测试</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检测，检测毒性等级</w:t>
      </w:r>
      <w:r>
        <w:rPr>
          <w:rFonts w:hint="eastAsia" w:ascii="宋体" w:hAnsi="宋体" w:eastAsia="宋体" w:cs="宋体"/>
          <w:b w:val="0"/>
          <w:bCs w:val="0"/>
          <w:color w:val="auto"/>
          <w:sz w:val="24"/>
          <w:szCs w:val="24"/>
          <w:lang w:val="en-US" w:eastAsia="zh-CN"/>
        </w:rPr>
        <w:t>&gt;</w:t>
      </w:r>
      <w:r>
        <w:rPr>
          <w:rFonts w:hint="eastAsia" w:ascii="宋体" w:hAnsi="宋体" w:cs="宋体"/>
          <w:b w:val="0"/>
          <w:bCs w:val="0"/>
          <w:color w:val="auto"/>
          <w:sz w:val="24"/>
          <w:szCs w:val="24"/>
          <w:lang w:val="en-US" w:eastAsia="zh-CN"/>
        </w:rPr>
        <w:t>2级。</w:t>
      </w:r>
    </w:p>
    <w:p w14:paraId="55437AEF">
      <w:pPr>
        <w:keepNext w:val="0"/>
        <w:keepLines w:val="0"/>
        <w:pageBreakBefore w:val="0"/>
        <w:kinsoku/>
        <w:wordWrap/>
        <w:overflowPunct/>
        <w:topLinePunct w:val="0"/>
        <w:autoSpaceDE/>
        <w:autoSpaceDN/>
        <w:bidi w:val="0"/>
        <w:adjustRightInd/>
        <w:snapToGrid/>
        <w:spacing w:line="360" w:lineRule="exact"/>
        <w:ind w:left="18" w:leftChars="0" w:firstLine="400" w:firstLineChars="167"/>
        <w:jc w:val="left"/>
        <w:textAlignment w:val="auto"/>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2.10</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背板折起角度0º-</w:t>
      </w:r>
      <w:r>
        <w:rPr>
          <w:rFonts w:hint="eastAsia" w:ascii="宋体" w:hAnsi="宋体" w:cs="宋体"/>
          <w:b w:val="0"/>
          <w:bCs w:val="0"/>
          <w:color w:val="auto"/>
          <w:sz w:val="24"/>
          <w:szCs w:val="24"/>
          <w:lang w:val="en-US" w:eastAsia="zh-CN"/>
        </w:rPr>
        <w:t>75</w:t>
      </w:r>
      <w:r>
        <w:rPr>
          <w:rFonts w:hint="eastAsia" w:ascii="宋体" w:hAnsi="宋体" w:eastAsia="宋体" w:cs="宋体"/>
          <w:b w:val="0"/>
          <w:bCs w:val="0"/>
          <w:color w:val="auto"/>
          <w:sz w:val="24"/>
          <w:szCs w:val="24"/>
        </w:rPr>
        <w:t>º。</w:t>
      </w:r>
    </w:p>
    <w:p w14:paraId="592B5A18">
      <w:pPr>
        <w:keepNext w:val="0"/>
        <w:keepLines w:val="0"/>
        <w:pageBreakBefore w:val="0"/>
        <w:kinsoku/>
        <w:wordWrap/>
        <w:overflowPunct/>
        <w:topLinePunct w:val="0"/>
        <w:autoSpaceDE/>
        <w:autoSpaceDN/>
        <w:bidi w:val="0"/>
        <w:adjustRightInd/>
        <w:snapToGrid/>
        <w:spacing w:line="360" w:lineRule="exact"/>
        <w:ind w:left="18" w:leftChars="0" w:firstLine="400" w:firstLineChars="167"/>
        <w:jc w:val="left"/>
        <w:textAlignment w:val="auto"/>
        <w:rPr>
          <w:rFonts w:hint="eastAsia"/>
          <w:b w:val="0"/>
          <w:bCs w:val="0"/>
          <w:sz w:val="24"/>
          <w:szCs w:val="24"/>
        </w:rPr>
      </w:pPr>
      <w:r>
        <w:rPr>
          <w:rFonts w:hint="eastAsia" w:ascii="宋体" w:hAnsi="宋体" w:cs="宋体"/>
          <w:b w:val="0"/>
          <w:bCs w:val="0"/>
          <w:color w:val="auto"/>
          <w:sz w:val="24"/>
          <w:szCs w:val="24"/>
          <w:lang w:val="en-US" w:eastAsia="zh-CN"/>
        </w:rPr>
        <w:t>2.11</w:t>
      </w:r>
      <w:r>
        <w:rPr>
          <w:rFonts w:hint="eastAsia" w:ascii="宋体" w:hAnsi="宋体" w:cs="宋体"/>
          <w:b w:val="0"/>
          <w:bCs w:val="0"/>
          <w:color w:val="auto"/>
          <w:kern w:val="0"/>
          <w:sz w:val="24"/>
          <w:szCs w:val="24"/>
          <w:lang w:val="en-US" w:eastAsia="zh-CN" w:bidi="ar"/>
        </w:rPr>
        <w:t>.</w:t>
      </w:r>
      <w:r>
        <w:rPr>
          <w:rFonts w:hint="eastAsia" w:ascii="宋体" w:hAnsi="宋体" w:eastAsia="宋体" w:cs="宋体"/>
          <w:b w:val="0"/>
          <w:bCs w:val="0"/>
          <w:color w:val="auto"/>
          <w:kern w:val="2"/>
          <w:sz w:val="24"/>
          <w:szCs w:val="24"/>
          <w:lang w:val="en-US" w:eastAsia="zh-CN" w:bidi="ar-SA"/>
        </w:rPr>
        <w:t>床面</w:t>
      </w:r>
      <w:r>
        <w:rPr>
          <w:rFonts w:hint="eastAsia" w:ascii="宋体" w:hAnsi="宋体" w:cs="宋体"/>
          <w:b w:val="0"/>
          <w:bCs w:val="0"/>
          <w:color w:val="auto"/>
          <w:kern w:val="2"/>
          <w:sz w:val="24"/>
          <w:szCs w:val="24"/>
          <w:lang w:val="en-US" w:eastAsia="zh-CN" w:bidi="ar-SA"/>
        </w:rPr>
        <w:t>动态</w:t>
      </w:r>
      <w:r>
        <w:rPr>
          <w:rFonts w:hint="eastAsia" w:ascii="宋体" w:hAnsi="宋体" w:eastAsia="宋体" w:cs="宋体"/>
          <w:b w:val="0"/>
          <w:bCs w:val="0"/>
          <w:color w:val="auto"/>
          <w:kern w:val="2"/>
          <w:sz w:val="24"/>
          <w:szCs w:val="24"/>
          <w:lang w:val="en-US" w:eastAsia="zh-CN" w:bidi="ar-SA"/>
        </w:rPr>
        <w:t>载荷240KG，有效载荷≥520KG。</w:t>
      </w:r>
      <w:r>
        <w:rPr>
          <w:rFonts w:hint="eastAsia" w:ascii="宋体" w:hAnsi="宋体" w:eastAsia="宋体" w:cs="宋体"/>
          <w:b w:val="0"/>
          <w:bCs w:val="0"/>
          <w:color w:val="FF0000"/>
          <w:kern w:val="2"/>
          <w:sz w:val="24"/>
          <w:szCs w:val="24"/>
          <w:lang w:val="en-US" w:eastAsia="zh-CN" w:bidi="ar-SA"/>
        </w:rPr>
        <w:t>（提供第三方检测报告复印件）</w:t>
      </w:r>
    </w:p>
    <w:p w14:paraId="7C33641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eastAsia" w:ascii="宋体" w:hAnsi="宋体" w:eastAsia="宋体" w:cs="宋体"/>
          <w:b w:val="0"/>
          <w:bCs w:val="0"/>
          <w:color w:val="auto"/>
          <w:kern w:val="0"/>
          <w:sz w:val="24"/>
          <w:szCs w:val="24"/>
        </w:rPr>
      </w:pPr>
      <w:r>
        <w:rPr>
          <w:rFonts w:hint="eastAsia" w:ascii="宋体" w:hAnsi="宋体" w:cs="宋体"/>
          <w:b w:val="0"/>
          <w:bCs w:val="0"/>
          <w:color w:val="auto"/>
          <w:sz w:val="24"/>
          <w:szCs w:val="24"/>
          <w:lang w:val="en-US" w:eastAsia="zh-CN"/>
        </w:rPr>
        <w:t>2.12</w:t>
      </w:r>
      <w:r>
        <w:rPr>
          <w:rFonts w:hint="eastAsia" w:ascii="宋体" w:hAnsi="宋体" w:eastAsia="宋体" w:cs="宋体"/>
          <w:b w:val="0"/>
          <w:bCs w:val="0"/>
          <w:color w:val="auto"/>
          <w:sz w:val="24"/>
          <w:szCs w:val="24"/>
          <w:lang w:val="en-US" w:eastAsia="zh-CN"/>
        </w:rPr>
        <w:t>.</w:t>
      </w:r>
      <w:r>
        <w:rPr>
          <w:b w:val="0"/>
          <w:bCs w:val="0"/>
          <w:color w:val="auto"/>
          <w:sz w:val="24"/>
          <w:szCs w:val="24"/>
        </w:rPr>
        <w:t>摇把采用ASB工程塑料一次注塑成型，摇把具有防撞结构设计，在摇把不使用状态下手柄和摇把座之间可以合起，在摇把使用时手柄和摇把座之间可以形</w:t>
      </w:r>
      <w:r>
        <w:rPr>
          <w:rFonts w:hint="eastAsia" w:ascii="宋体" w:hAnsi="宋体" w:eastAsia="宋体" w:cs="宋体"/>
          <w:b w:val="0"/>
          <w:bCs w:val="0"/>
          <w:color w:val="auto"/>
          <w:sz w:val="24"/>
          <w:szCs w:val="24"/>
        </w:rPr>
        <w:t>成180°，遇到碰撞和外力时手柄和摇把座之间可以展开。手柄可0°～180°折叠，摇动灵活，无卡阻。摇把和丝杆之间采用“万向接”连接技术，“万向接”为钢件。手摇床丝杆有双向过盈保护装置，丝杆采用机器一次性冷挤压成型。连续升降15000次，测试后结构应完好，丝杆不应有失效。启动扭矩≤1.0Nm。</w:t>
      </w:r>
    </w:p>
    <w:p w14:paraId="335549A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2.13.</w:t>
      </w:r>
      <w:r>
        <w:rPr>
          <w:rFonts w:hint="eastAsia" w:ascii="宋体" w:hAnsi="宋体" w:eastAsia="宋体" w:cs="宋体"/>
          <w:b w:val="0"/>
          <w:bCs w:val="0"/>
          <w:color w:val="auto"/>
          <w:kern w:val="0"/>
          <w:sz w:val="24"/>
          <w:szCs w:val="24"/>
          <w:lang w:val="en-US" w:eastAsia="zh-CN" w:bidi="ar"/>
        </w:rPr>
        <w:t>高强度护栏主管采用直径≥30mm D型铝合金管，立管使用直径≥18mm，立管数采≥6根，强度高。加厚D形铝合金护手，表面硬化处理，所有转动部件外均罩有ABS装饰盖，护栏整体造型更为美观、大方。高强度</w:t>
      </w:r>
      <w:r>
        <w:rPr>
          <w:rFonts w:hint="eastAsia"/>
          <w:b w:val="0"/>
          <w:bCs w:val="0"/>
          <w:color w:val="auto"/>
          <w:sz w:val="24"/>
          <w:szCs w:val="24"/>
          <w:lang w:val="en-US" w:eastAsia="zh-CN"/>
        </w:rPr>
        <w:t>金属压铸</w:t>
      </w:r>
      <w:r>
        <w:rPr>
          <w:rFonts w:hint="eastAsia" w:ascii="宋体" w:hAnsi="宋体" w:eastAsia="宋体" w:cs="宋体"/>
          <w:b w:val="0"/>
          <w:bCs w:val="0"/>
          <w:color w:val="auto"/>
          <w:kern w:val="0"/>
          <w:sz w:val="24"/>
          <w:szCs w:val="24"/>
          <w:lang w:val="en-US" w:eastAsia="zh-CN" w:bidi="ar"/>
        </w:rPr>
        <w:t>枪把手内置隐藏式锁紧机构，安全可靠。护栏高度≥400mm，护栏长度≥</w:t>
      </w:r>
      <w:r>
        <w:rPr>
          <w:rFonts w:hint="eastAsia" w:ascii="宋体" w:hAnsi="宋体" w:cs="宋体"/>
          <w:b w:val="0"/>
          <w:bCs w:val="0"/>
          <w:color w:val="auto"/>
          <w:kern w:val="0"/>
          <w:sz w:val="24"/>
          <w:szCs w:val="24"/>
          <w:lang w:val="en-US" w:eastAsia="zh-CN" w:bidi="ar"/>
        </w:rPr>
        <w:t>1480</w:t>
      </w:r>
      <w:r>
        <w:rPr>
          <w:rFonts w:hint="eastAsia" w:ascii="宋体" w:hAnsi="宋体" w:eastAsia="宋体" w:cs="宋体"/>
          <w:b w:val="0"/>
          <w:bCs w:val="0"/>
          <w:color w:val="auto"/>
          <w:kern w:val="0"/>
          <w:sz w:val="24"/>
          <w:szCs w:val="24"/>
          <w:lang w:val="en-US" w:eastAsia="zh-CN" w:bidi="ar"/>
        </w:rPr>
        <w:t>mm。护栏最上沿离床面高度≥350mm</w:t>
      </w:r>
      <w:r>
        <w:rPr>
          <w:rFonts w:hint="eastAsia" w:ascii="宋体" w:hAnsi="宋体" w:cs="宋体"/>
          <w:b w:val="0"/>
          <w:bCs w:val="0"/>
          <w:color w:val="auto"/>
          <w:kern w:val="0"/>
          <w:sz w:val="24"/>
          <w:szCs w:val="24"/>
          <w:lang w:val="en-US" w:eastAsia="zh-CN" w:bidi="ar"/>
        </w:rPr>
        <w:t>。</w:t>
      </w:r>
      <w:r>
        <w:rPr>
          <w:rFonts w:hint="eastAsia" w:ascii="宋体" w:hAnsi="宋体" w:eastAsia="宋体" w:cs="宋体"/>
          <w:b w:val="0"/>
          <w:bCs w:val="0"/>
          <w:color w:val="auto"/>
          <w:kern w:val="0"/>
          <w:sz w:val="24"/>
          <w:szCs w:val="24"/>
          <w:lang w:val="en-US" w:eastAsia="zh-CN" w:bidi="ar"/>
        </w:rPr>
        <w:t>护栏在施加1000N水平推力，连续使用开闭功能5.5万次测试后，左右单向晃动≤20mm，护栏开闭功能正常使用。</w:t>
      </w:r>
      <w:r>
        <w:rPr>
          <w:rFonts w:hint="eastAsia" w:ascii="宋体" w:hAnsi="宋体" w:cs="宋体"/>
          <w:b w:val="0"/>
          <w:bCs w:val="0"/>
          <w:color w:val="FF0000"/>
          <w:kern w:val="0"/>
          <w:sz w:val="24"/>
          <w:szCs w:val="24"/>
          <w:lang w:val="en-US" w:eastAsia="zh-CN" w:bidi="ar"/>
        </w:rPr>
        <w:t>（提供CMA资质许可(认定)范围内出具的检测报告）</w:t>
      </w:r>
    </w:p>
    <w:p w14:paraId="4B01E6E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eastAsia="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2.14</w:t>
      </w:r>
      <w:r>
        <w:rPr>
          <w:rFonts w:hint="eastAsia" w:ascii="宋体" w:hAnsi="宋体" w:eastAsia="宋体" w:cs="宋体"/>
          <w:b w:val="0"/>
          <w:bCs w:val="0"/>
          <w:color w:val="auto"/>
          <w:kern w:val="0"/>
          <w:sz w:val="24"/>
          <w:szCs w:val="24"/>
          <w:lang w:val="en-US" w:eastAsia="zh-CN" w:bidi="ar"/>
        </w:rPr>
        <w:t>.床体与床面板二氧化碳保护焊焊接，牢固、可靠，传动受力处采用机器人焊接。</w:t>
      </w:r>
      <w:r>
        <w:rPr>
          <w:rFonts w:hint="eastAsia" w:ascii="宋体" w:hAnsi="宋体" w:cs="宋体"/>
          <w:b w:val="0"/>
          <w:bCs w:val="0"/>
          <w:color w:val="auto"/>
          <w:kern w:val="0"/>
          <w:sz w:val="24"/>
          <w:szCs w:val="24"/>
          <w:lang w:val="en-US" w:eastAsia="zh-CN" w:bidi="ar"/>
        </w:rPr>
        <w:t>焊接处应无脱焊、虚焊、焊穿、错位，焊接处应无夹渣、气孔、焊瘤、焊丝头、咬边、飞溅/焊接处表面波纹应均匀。符合GB/T 3325-2024标准金属件焊接件焊接标准</w:t>
      </w:r>
    </w:p>
    <w:p w14:paraId="12CFB8B7">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5</w:t>
      </w:r>
      <w:r>
        <w:rPr>
          <w:rFonts w:hint="eastAsia" w:ascii="宋体" w:hAnsi="宋体" w:eastAsia="宋体" w:cs="宋体"/>
          <w:b w:val="0"/>
          <w:bCs w:val="0"/>
          <w:color w:val="auto"/>
          <w:kern w:val="0"/>
          <w:sz w:val="24"/>
          <w:szCs w:val="24"/>
          <w:lang w:val="en-US" w:eastAsia="zh-CN" w:bidi="ar"/>
        </w:rPr>
        <w:t>.病床表层</w:t>
      </w:r>
      <w:r>
        <w:rPr>
          <w:rFonts w:hint="eastAsia" w:ascii="宋体" w:hAnsi="宋体" w:cs="宋体"/>
          <w:b w:val="0"/>
          <w:bCs w:val="0"/>
          <w:color w:val="auto"/>
          <w:kern w:val="0"/>
          <w:sz w:val="24"/>
          <w:szCs w:val="24"/>
          <w:lang w:val="en-US" w:eastAsia="zh-CN" w:bidi="ar"/>
        </w:rPr>
        <w:t>经喷涂处理后具有耐腐蚀、耐盐浴：床体表面经过200</w:t>
      </w:r>
      <w:r>
        <w:rPr>
          <w:rFonts w:hint="eastAsia" w:ascii="宋体" w:hAnsi="宋体" w:eastAsia="宋体" w:cs="宋体"/>
          <w:b w:val="0"/>
          <w:bCs w:val="0"/>
          <w:color w:val="auto"/>
          <w:sz w:val="24"/>
          <w:szCs w:val="24"/>
        </w:rPr>
        <w:t>小时以上盐雾测试试验后</w:t>
      </w:r>
      <w:r>
        <w:rPr>
          <w:rFonts w:hint="eastAsia" w:ascii="宋体" w:hAnsi="宋体" w:cs="宋体"/>
          <w:b w:val="0"/>
          <w:bCs w:val="0"/>
          <w:color w:val="auto"/>
          <w:kern w:val="0"/>
          <w:sz w:val="24"/>
          <w:szCs w:val="24"/>
          <w:lang w:val="en-US" w:eastAsia="zh-CN" w:bidi="ar"/>
        </w:rPr>
        <w:t>划道两侧3 mm外，无鼓泡、锈蚀、剥落和起皱等现象</w:t>
      </w:r>
    </w:p>
    <w:p w14:paraId="12FAB642">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6</w:t>
      </w:r>
      <w:r>
        <w:rPr>
          <w:rFonts w:hint="eastAsia" w:ascii="宋体" w:hAnsi="宋体" w:eastAsia="宋体" w:cs="宋体"/>
          <w:b w:val="0"/>
          <w:bCs w:val="0"/>
          <w:color w:val="auto"/>
          <w:kern w:val="0"/>
          <w:sz w:val="24"/>
          <w:szCs w:val="24"/>
          <w:lang w:val="en-US" w:eastAsia="zh-CN" w:bidi="ar"/>
        </w:rPr>
        <w:t>.床体头尾处均带输液架插孔（共</w:t>
      </w:r>
      <w:r>
        <w:rPr>
          <w:rFonts w:hint="eastAsia" w:ascii="宋体" w:hAnsi="宋体" w:cs="宋体"/>
          <w:b w:val="0"/>
          <w:bCs w:val="0"/>
          <w:color w:val="auto"/>
          <w:kern w:val="0"/>
          <w:sz w:val="24"/>
          <w:szCs w:val="24"/>
          <w:lang w:val="en-US" w:eastAsia="zh-CN" w:bidi="ar"/>
        </w:rPr>
        <w:t>4</w:t>
      </w:r>
      <w:r>
        <w:rPr>
          <w:rFonts w:hint="eastAsia" w:ascii="宋体" w:hAnsi="宋体" w:eastAsia="宋体" w:cs="宋体"/>
          <w:b w:val="0"/>
          <w:bCs w:val="0"/>
          <w:color w:val="auto"/>
          <w:kern w:val="0"/>
          <w:sz w:val="24"/>
          <w:szCs w:val="24"/>
          <w:lang w:val="en-US" w:eastAsia="zh-CN" w:bidi="ar"/>
        </w:rPr>
        <w:t>个）</w:t>
      </w:r>
      <w:r>
        <w:rPr>
          <w:rFonts w:hint="eastAsia" w:ascii="宋体" w:hAnsi="宋体" w:cs="宋体"/>
          <w:b w:val="0"/>
          <w:bCs w:val="0"/>
          <w:color w:val="auto"/>
          <w:kern w:val="0"/>
          <w:sz w:val="24"/>
          <w:szCs w:val="24"/>
          <w:lang w:val="en-US" w:eastAsia="zh-CN" w:bidi="ar"/>
        </w:rPr>
        <w:t>，床面下</w:t>
      </w:r>
      <w:r>
        <w:rPr>
          <w:rFonts w:hint="eastAsia" w:ascii="宋体" w:hAnsi="宋体" w:eastAsia="宋体" w:cs="宋体"/>
          <w:b w:val="0"/>
          <w:bCs w:val="0"/>
          <w:color w:val="auto"/>
          <w:kern w:val="0"/>
          <w:sz w:val="24"/>
          <w:szCs w:val="24"/>
          <w:lang w:val="en-US" w:eastAsia="zh-CN" w:bidi="ar"/>
        </w:rPr>
        <w:t>带碳钢杂物架。</w:t>
      </w:r>
    </w:p>
    <w:p w14:paraId="23B70BD2">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cs="宋体"/>
          <w:b w:val="0"/>
          <w:bCs w:val="0"/>
          <w:color w:val="auto"/>
          <w:kern w:val="0"/>
          <w:sz w:val="24"/>
          <w:szCs w:val="24"/>
          <w:lang w:val="en-US" w:eastAsia="zh-CN" w:bidi="ar"/>
        </w:rPr>
        <w:t>2.17.</w:t>
      </w:r>
      <w:r>
        <w:rPr>
          <w:rFonts w:hint="eastAsia" w:ascii="宋体" w:hAnsi="宋体" w:eastAsia="宋体" w:cs="宋体"/>
          <w:b w:val="0"/>
          <w:bCs w:val="0"/>
          <w:color w:val="auto"/>
          <w:kern w:val="0"/>
          <w:sz w:val="24"/>
          <w:szCs w:val="24"/>
          <w:lang w:val="en-US" w:eastAsia="zh-CN" w:bidi="ar"/>
        </w:rPr>
        <w:t>床垫厚度</w:t>
      </w:r>
      <w:r>
        <w:rPr>
          <w:rFonts w:hint="eastAsia" w:ascii="宋体" w:hAnsi="宋体" w:cs="宋体"/>
          <w:b w:val="0"/>
          <w:bCs w:val="0"/>
          <w:color w:val="auto"/>
          <w:kern w:val="0"/>
          <w:sz w:val="24"/>
          <w:szCs w:val="24"/>
          <w:lang w:val="en-US" w:eastAsia="zh-CN" w:bidi="ar"/>
        </w:rPr>
        <w:t>7</w:t>
      </w:r>
      <w:r>
        <w:rPr>
          <w:rFonts w:hint="eastAsia" w:ascii="宋体" w:hAnsi="宋体" w:eastAsia="宋体" w:cs="宋体"/>
          <w:b w:val="0"/>
          <w:bCs w:val="0"/>
          <w:color w:val="auto"/>
          <w:kern w:val="0"/>
          <w:sz w:val="24"/>
          <w:szCs w:val="24"/>
          <w:lang w:val="en-US" w:eastAsia="zh-CN" w:bidi="ar"/>
        </w:rPr>
        <w:t>0mm，配套床垫由高密度海绵和椰棕组成，内衬优质海绵厚度</w:t>
      </w:r>
      <w:r>
        <w:rPr>
          <w:rFonts w:hint="eastAsia" w:ascii="宋体" w:hAnsi="宋体" w:cs="宋体"/>
          <w:b w:val="0"/>
          <w:bCs w:val="0"/>
          <w:color w:val="auto"/>
          <w:kern w:val="0"/>
          <w:sz w:val="24"/>
          <w:szCs w:val="24"/>
          <w:lang w:val="en-US" w:eastAsia="zh-CN" w:bidi="ar"/>
        </w:rPr>
        <w:t>4</w:t>
      </w:r>
      <w:r>
        <w:rPr>
          <w:rFonts w:hint="eastAsia" w:ascii="宋体" w:hAnsi="宋体" w:eastAsia="宋体" w:cs="宋体"/>
          <w:b w:val="0"/>
          <w:bCs w:val="0"/>
          <w:color w:val="auto"/>
          <w:kern w:val="0"/>
          <w:sz w:val="24"/>
          <w:szCs w:val="24"/>
          <w:lang w:val="en-US" w:eastAsia="zh-CN" w:bidi="ar"/>
        </w:rPr>
        <w:t>0mm，椰棕厚度 30mm，床垫外套可拆洗，由优质防水布制作。</w:t>
      </w:r>
    </w:p>
    <w:p w14:paraId="11CA07EB">
      <w:pPr>
        <w:keepNext w:val="0"/>
        <w:keepLines w:val="0"/>
        <w:pageBreakBefore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2.1</w:t>
      </w:r>
      <w:r>
        <w:rPr>
          <w:rFonts w:hint="eastAsia" w:ascii="宋体" w:hAnsi="宋体" w:cs="宋体"/>
          <w:b w:val="0"/>
          <w:bCs w:val="0"/>
          <w:color w:val="auto"/>
          <w:kern w:val="0"/>
          <w:sz w:val="24"/>
          <w:szCs w:val="24"/>
          <w:lang w:val="en-US" w:eastAsia="zh-CN" w:bidi="ar"/>
        </w:rPr>
        <w:t>8</w:t>
      </w:r>
      <w:r>
        <w:rPr>
          <w:rFonts w:hint="eastAsia" w:ascii="宋体" w:hAnsi="宋体" w:eastAsia="宋体" w:cs="宋体"/>
          <w:b w:val="0"/>
          <w:bCs w:val="0"/>
          <w:color w:val="auto"/>
          <w:kern w:val="0"/>
          <w:sz w:val="24"/>
          <w:szCs w:val="24"/>
          <w:lang w:val="en-US" w:eastAsia="zh-CN" w:bidi="ar"/>
        </w:rPr>
        <w:t>.床垫海绵甲醛含量≦100mg/Kg,PH值4.0-9.0，回弹率≧39%，可分解致癌物≦10mg/Kg；椰棕采用环保棕垫，棕垫甲醛释放量≦0.03mg/㎡.h；</w:t>
      </w:r>
      <w:r>
        <w:rPr>
          <w:rFonts w:hint="eastAsia" w:ascii="宋体" w:hAnsi="宋体" w:eastAsia="宋体" w:cs="宋体"/>
          <w:b w:val="0"/>
          <w:bCs w:val="0"/>
          <w:color w:val="auto"/>
          <w:kern w:val="2"/>
          <w:sz w:val="24"/>
          <w:szCs w:val="24"/>
          <w:lang w:val="en-US" w:eastAsia="zh-CN" w:bidi="ar-SA"/>
        </w:rPr>
        <w:t>（提供第三方检测报告复印件）</w:t>
      </w:r>
      <w:r>
        <w:rPr>
          <w:rFonts w:hint="eastAsia" w:ascii="宋体" w:hAnsi="宋体" w:eastAsia="宋体" w:cs="宋体"/>
          <w:b w:val="0"/>
          <w:bCs w:val="0"/>
          <w:color w:val="auto"/>
          <w:kern w:val="0"/>
          <w:sz w:val="24"/>
          <w:szCs w:val="24"/>
          <w:lang w:val="en-US" w:eastAsia="zh-CN" w:bidi="ar"/>
        </w:rPr>
        <w:t>产品材质抗细菌滋生，除菌率（大肠杆菌、金黄色葡萄球菌）</w:t>
      </w:r>
      <w:r>
        <w:rPr>
          <w:rFonts w:hint="eastAsia" w:ascii="宋体" w:hAnsi="宋体" w:eastAsia="宋体" w:cs="宋体"/>
          <w:b w:val="0"/>
          <w:bCs w:val="0"/>
          <w:color w:val="auto"/>
          <w:kern w:val="2"/>
          <w:sz w:val="24"/>
          <w:szCs w:val="24"/>
          <w:lang w:val="en-US" w:eastAsia="zh-CN" w:bidi="ar-SA"/>
        </w:rPr>
        <w:t>≥9</w:t>
      </w:r>
      <w:r>
        <w:rPr>
          <w:rFonts w:hint="eastAsia" w:ascii="宋体" w:hAnsi="宋体" w:cs="宋体"/>
          <w:b w:val="0"/>
          <w:bCs w:val="0"/>
          <w:color w:val="auto"/>
          <w:kern w:val="2"/>
          <w:sz w:val="24"/>
          <w:szCs w:val="24"/>
          <w:lang w:val="en-US" w:eastAsia="zh-CN" w:bidi="ar-SA"/>
        </w:rPr>
        <w:t>0</w:t>
      </w:r>
      <w:r>
        <w:rPr>
          <w:rFonts w:hint="eastAsia" w:ascii="宋体" w:hAnsi="宋体" w:eastAsia="宋体" w:cs="宋体"/>
          <w:b w:val="0"/>
          <w:bCs w:val="0"/>
          <w:color w:val="auto"/>
          <w:kern w:val="2"/>
          <w:sz w:val="24"/>
          <w:szCs w:val="24"/>
          <w:lang w:val="en-US" w:eastAsia="zh-CN" w:bidi="ar-SA"/>
        </w:rPr>
        <w:t>%</w:t>
      </w:r>
      <w:r>
        <w:rPr>
          <w:rFonts w:hint="eastAsia" w:ascii="宋体" w:hAnsi="宋体" w:eastAsia="宋体" w:cs="宋体"/>
          <w:b w:val="0"/>
          <w:bCs w:val="0"/>
          <w:color w:val="auto"/>
          <w:kern w:val="0"/>
          <w:sz w:val="24"/>
          <w:szCs w:val="24"/>
          <w:lang w:val="en-US" w:eastAsia="zh-CN" w:bidi="ar"/>
        </w:rPr>
        <w:t>；床套面料具有防螨、阻燃功能，符合GB/T24253-2009、GB/T5455-2014标准。</w:t>
      </w:r>
    </w:p>
    <w:p w14:paraId="11343622">
      <w:pPr>
        <w:pStyle w:val="2"/>
        <w:keepNext w:val="0"/>
        <w:keepLines w:val="0"/>
        <w:pageBreakBefore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b w:val="0"/>
          <w:bCs w:val="0"/>
          <w:color w:val="auto"/>
          <w:kern w:val="0"/>
          <w:sz w:val="24"/>
          <w:szCs w:val="24"/>
          <w:lang w:val="en-US" w:eastAsia="zh-CN" w:bidi="ar"/>
        </w:rPr>
        <w:t>2.19.床尾移动置物架</w:t>
      </w:r>
      <w:r>
        <w:rPr>
          <w:rFonts w:hint="eastAsia" w:ascii="宋体" w:hAnsi="宋体" w:eastAsia="宋体" w:cs="宋体"/>
          <w:sz w:val="24"/>
          <w:szCs w:val="24"/>
          <w:lang w:eastAsia="zh-CN"/>
        </w:rPr>
        <w:t>规格尺寸：</w:t>
      </w:r>
      <w:r>
        <w:rPr>
          <w:rFonts w:hint="eastAsia" w:ascii="宋体" w:hAnsi="宋体" w:eastAsia="宋体" w:cs="宋体"/>
          <w:sz w:val="24"/>
          <w:szCs w:val="24"/>
          <w:lang w:val="en-US" w:eastAsia="zh-CN"/>
        </w:rPr>
        <w:t>700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500</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38</w:t>
      </w:r>
      <w:r>
        <w:rPr>
          <w:rFonts w:hint="eastAsia" w:ascii="宋体" w:hAnsi="宋体" w:eastAsia="宋体" w:cs="宋体"/>
          <w:sz w:val="24"/>
          <w:szCs w:val="24"/>
          <w:lang w:eastAsia="zh-CN"/>
        </w:rPr>
        <w:t>0mm，外架采用φ38*1.5mm优质冷轧钢管经专业弯制而成，底部采用</w:t>
      </w:r>
      <w:r>
        <w:rPr>
          <w:rFonts w:hint="eastAsia" w:ascii="宋体" w:hAnsi="宋体" w:eastAsia="宋体" w:cs="宋体"/>
          <w:sz w:val="24"/>
          <w:szCs w:val="24"/>
          <w:lang w:val="en-US" w:eastAsia="zh-CN"/>
        </w:rPr>
        <w:t>20</w:t>
      </w:r>
      <w:r>
        <w:rPr>
          <w:rFonts w:hint="eastAsia" w:ascii="宋体" w:hAnsi="宋体" w:eastAsia="宋体" w:cs="宋体"/>
          <w:sz w:val="24"/>
          <w:szCs w:val="24"/>
          <w:lang w:eastAsia="zh-CN"/>
        </w:rPr>
        <w:t>优质冷轧钢方管连接，四周安装可拆卸蓝色帆布，外框架安装Φ</w:t>
      </w:r>
      <w:r>
        <w:rPr>
          <w:rFonts w:hint="eastAsia" w:ascii="宋体" w:hAnsi="宋体" w:eastAsia="宋体" w:cs="宋体"/>
          <w:sz w:val="24"/>
          <w:szCs w:val="24"/>
          <w:lang w:val="en-US" w:eastAsia="zh-CN"/>
        </w:rPr>
        <w:t>50</w:t>
      </w:r>
      <w:r>
        <w:rPr>
          <w:rFonts w:hint="eastAsia" w:ascii="宋体" w:hAnsi="宋体" w:eastAsia="宋体" w:cs="宋体"/>
          <w:sz w:val="24"/>
          <w:szCs w:val="24"/>
          <w:lang w:eastAsia="zh-CN"/>
        </w:rPr>
        <w:t>mm的耐磨静音脚轮</w:t>
      </w:r>
      <w:r>
        <w:rPr>
          <w:rFonts w:hint="eastAsia" w:ascii="宋体" w:hAnsi="宋体" w:eastAsia="宋体" w:cs="宋体"/>
          <w:sz w:val="24"/>
          <w:szCs w:val="24"/>
          <w:lang w:val="en-US" w:eastAsia="zh-CN"/>
        </w:rPr>
        <w:t>.</w:t>
      </w:r>
    </w:p>
    <w:p w14:paraId="0AA61A67">
      <w:pPr>
        <w:rPr>
          <w:rFonts w:hint="default"/>
          <w:lang w:val="en-US" w:eastAsia="zh-CN"/>
        </w:rPr>
      </w:pPr>
    </w:p>
    <w:p w14:paraId="197E6946">
      <w:pPr>
        <w:ind w:left="0" w:leftChars="0" w:firstLine="419" w:firstLineChars="139"/>
        <w:rPr>
          <w:rFonts w:hint="eastAsia" w:ascii="宋体" w:hAnsi="宋体" w:eastAsia="宋体" w:cs="宋体"/>
          <w:b/>
          <w:bCs/>
          <w:color w:val="auto"/>
          <w:sz w:val="30"/>
          <w:szCs w:val="30"/>
          <w:lang w:val="en-US" w:eastAsia="zh-CN"/>
        </w:rPr>
      </w:pPr>
      <w:r>
        <w:rPr>
          <w:rFonts w:hint="eastAsia" w:ascii="宋体" w:hAnsi="宋体" w:eastAsia="宋体" w:cs="宋体"/>
          <w:b/>
          <w:bCs/>
          <w:color w:val="auto"/>
          <w:sz w:val="30"/>
          <w:szCs w:val="30"/>
          <w:lang w:val="en-US" w:eastAsia="zh-CN"/>
        </w:rPr>
        <w:t>3.多功能专用床</w:t>
      </w:r>
    </w:p>
    <w:p w14:paraId="74AE627E">
      <w:pPr>
        <w:pStyle w:val="2"/>
        <w:rPr>
          <w:rFonts w:hint="eastAsia"/>
          <w:lang w:val="en-US" w:eastAsia="zh-CN"/>
        </w:rPr>
      </w:pPr>
    </w:p>
    <w:p w14:paraId="64F020FC">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446655" cy="1761490"/>
            <wp:effectExtent l="0" t="0" r="6985" b="6350"/>
            <wp:docPr id="4" name="图片 5" descr="JF1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JF10-I"/>
                    <pic:cNvPicPr>
                      <a:picLocks noChangeAspect="1"/>
                    </pic:cNvPicPr>
                  </pic:nvPicPr>
                  <pic:blipFill>
                    <a:blip r:embed="rId18"/>
                    <a:stretch>
                      <a:fillRect/>
                    </a:stretch>
                  </pic:blipFill>
                  <pic:spPr>
                    <a:xfrm>
                      <a:off x="0" y="0"/>
                      <a:ext cx="2446655" cy="1761490"/>
                    </a:xfrm>
                    <a:prstGeom prst="rect">
                      <a:avLst/>
                    </a:prstGeom>
                    <a:noFill/>
                    <a:ln>
                      <a:noFill/>
                    </a:ln>
                  </pic:spPr>
                </pic:pic>
              </a:graphicData>
            </a:graphic>
          </wp:inline>
        </w:drawing>
      </w:r>
    </w:p>
    <w:p w14:paraId="5B647AE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规格</w:t>
      </w:r>
      <w:r>
        <w:rPr>
          <w:rFonts w:hint="eastAsia" w:ascii="宋体" w:hAnsi="宋体" w:eastAsia="宋体" w:cs="宋体"/>
          <w:color w:val="000000"/>
          <w:sz w:val="24"/>
          <w:szCs w:val="24"/>
          <w:lang w:eastAsia="zh-CN"/>
        </w:rPr>
        <w:t>尺寸</w:t>
      </w:r>
      <w:r>
        <w:rPr>
          <w:rFonts w:hint="eastAsia" w:ascii="宋体" w:hAnsi="宋体" w:eastAsia="宋体" w:cs="宋体"/>
          <w:color w:val="000000"/>
          <w:sz w:val="24"/>
          <w:szCs w:val="24"/>
        </w:rPr>
        <w:t>：全长1930mm±</w:t>
      </w:r>
      <w:r>
        <w:rPr>
          <w:rFonts w:hint="eastAsia" w:ascii="宋体" w:hAnsi="宋体" w:eastAsia="宋体" w:cs="宋体"/>
          <w:color w:val="000000"/>
          <w:sz w:val="24"/>
          <w:szCs w:val="24"/>
          <w:lang w:val="en-US" w:eastAsia="zh-CN"/>
        </w:rPr>
        <w:t>5mm</w:t>
      </w:r>
      <w:r>
        <w:rPr>
          <w:rFonts w:hint="eastAsia" w:ascii="宋体" w:hAnsi="宋体" w:eastAsia="宋体" w:cs="宋体"/>
          <w:color w:val="000000"/>
          <w:sz w:val="24"/>
          <w:szCs w:val="24"/>
        </w:rPr>
        <w:t>，</w:t>
      </w:r>
      <w:r>
        <w:rPr>
          <w:rFonts w:hint="eastAsia" w:ascii="宋体" w:hAnsi="宋体" w:eastAsia="宋体" w:cs="宋体"/>
          <w:color w:val="000000"/>
          <w:sz w:val="24"/>
          <w:szCs w:val="24"/>
          <w:highlight w:val="none"/>
        </w:rPr>
        <w:t>宽66</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mm</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5mm</w:t>
      </w:r>
      <w:r>
        <w:rPr>
          <w:rFonts w:hint="eastAsia" w:ascii="宋体" w:hAnsi="宋体" w:eastAsia="宋体" w:cs="宋体"/>
          <w:color w:val="000000"/>
          <w:sz w:val="24"/>
          <w:szCs w:val="24"/>
        </w:rPr>
        <w:t>，高低升降510—850mm，背部升降0—70°。</w:t>
      </w:r>
    </w:p>
    <w:p w14:paraId="5866246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2.</w:t>
      </w:r>
      <w:r>
        <w:rPr>
          <w:rFonts w:hint="eastAsia" w:ascii="宋体" w:hAnsi="宋体" w:eastAsia="宋体" w:cs="宋体"/>
          <w:color w:val="000000"/>
          <w:sz w:val="24"/>
          <w:szCs w:val="24"/>
        </w:rPr>
        <w:t>配置清单：</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床本体1台；</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一体式护栏 2片；</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双面脚轮4只；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中控锁定踏板4套；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中心第五轮1套；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整体升降摇杆1套；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背部升降气压弹簧1套；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大型底部托盘1块；</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9</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输液架 1根；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标准输液架插孔4个；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氧气瓶挂架1个；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12</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转运床垫1张；</w:t>
      </w:r>
    </w:p>
    <w:p w14:paraId="486395A1">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3.</w:t>
      </w:r>
      <w:r>
        <w:rPr>
          <w:rFonts w:hint="eastAsia" w:ascii="宋体" w:hAnsi="宋体" w:eastAsia="宋体" w:cs="宋体"/>
          <w:color w:val="000000"/>
          <w:sz w:val="24"/>
          <w:szCs w:val="24"/>
        </w:rPr>
        <w:t>安全工作载荷170KG。</w:t>
      </w:r>
    </w:p>
    <w:p w14:paraId="7A6274D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4.</w:t>
      </w:r>
      <w:r>
        <w:rPr>
          <w:rFonts w:hint="eastAsia" w:ascii="宋体" w:hAnsi="宋体" w:eastAsia="宋体" w:cs="宋体"/>
          <w:color w:val="000000"/>
          <w:sz w:val="24"/>
          <w:szCs w:val="24"/>
        </w:rPr>
        <w:t>背部升降系统：背部升降采用高品质静音气弹簧控制。</w:t>
      </w:r>
    </w:p>
    <w:p w14:paraId="009DCE3F">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5.</w:t>
      </w:r>
      <w:r>
        <w:rPr>
          <w:rFonts w:hint="eastAsia" w:ascii="宋体" w:hAnsi="宋体" w:eastAsia="宋体" w:cs="宋体"/>
          <w:color w:val="000000"/>
          <w:sz w:val="24"/>
          <w:szCs w:val="24"/>
        </w:rPr>
        <w:t>高低调节：金属材质摇杆系统，过载保护功能，不易折断。</w:t>
      </w:r>
    </w:p>
    <w:p w14:paraId="3C69F81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6.</w:t>
      </w:r>
      <w:r>
        <w:rPr>
          <w:rFonts w:hint="eastAsia" w:ascii="宋体" w:hAnsi="宋体" w:eastAsia="宋体" w:cs="宋体"/>
          <w:color w:val="000000"/>
          <w:sz w:val="24"/>
          <w:szCs w:val="24"/>
        </w:rPr>
        <w:t>床板：PP树脂成型制品。</w:t>
      </w:r>
    </w:p>
    <w:p w14:paraId="7157A479">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7.</w:t>
      </w:r>
      <w:r>
        <w:rPr>
          <w:rFonts w:hint="eastAsia" w:ascii="宋体" w:hAnsi="宋体" w:eastAsia="宋体" w:cs="宋体"/>
          <w:color w:val="000000"/>
          <w:sz w:val="24"/>
          <w:szCs w:val="24"/>
        </w:rPr>
        <w:t>框架：采用钢制/部分铝制品制成。</w:t>
      </w:r>
    </w:p>
    <w:p w14:paraId="6A442DA2">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8.</w:t>
      </w:r>
      <w:r>
        <w:rPr>
          <w:rFonts w:hint="eastAsia" w:ascii="宋体" w:hAnsi="宋体" w:eastAsia="宋体" w:cs="宋体"/>
          <w:color w:val="000000"/>
          <w:sz w:val="24"/>
          <w:szCs w:val="24"/>
        </w:rPr>
        <w:t>护栏板： PP树脂成型两侧护栏板，高度300mm，患者更安全，也可以水平固定，增加床体宽度，让输液者的手臂有舒适的放置处；并具有双安全锁进行锁定，防止误操作，提高了操作的安全性。</w:t>
      </w:r>
    </w:p>
    <w:p w14:paraId="6B51609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9.</w:t>
      </w:r>
      <w:r>
        <w:rPr>
          <w:rFonts w:hint="eastAsia" w:ascii="宋体" w:hAnsi="宋体" w:eastAsia="宋体" w:cs="宋体"/>
          <w:color w:val="000000"/>
          <w:sz w:val="24"/>
          <w:szCs w:val="24"/>
        </w:rPr>
        <w:t>护栏板上设有角度显示，方便护理时知道背部升起的角度；两侧护栏板中间有凹槽，防止导管滑落，方便输液引流。</w:t>
      </w:r>
    </w:p>
    <w:p w14:paraId="4C4208A6">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10.</w:t>
      </w:r>
      <w:r>
        <w:rPr>
          <w:rFonts w:hint="eastAsia" w:ascii="宋体" w:hAnsi="宋体" w:eastAsia="宋体" w:cs="宋体"/>
          <w:color w:val="000000"/>
          <w:sz w:val="24"/>
          <w:szCs w:val="24"/>
        </w:rPr>
        <w:t>铝压铸一体成型护栏支架，表面氧化处理。全新设计，护栏锁定更牢靠（无铆接，永不松脱）。护栏锁定后，无晃动间隙，强度更高，安全更可靠，人性化，外观更好。</w:t>
      </w:r>
    </w:p>
    <w:p w14:paraId="4356312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11.</w:t>
      </w:r>
      <w:r>
        <w:rPr>
          <w:rFonts w:hint="eastAsia" w:ascii="宋体" w:hAnsi="宋体" w:eastAsia="宋体" w:cs="宋体"/>
          <w:color w:val="000000"/>
          <w:sz w:val="24"/>
          <w:szCs w:val="24"/>
        </w:rPr>
        <w:t>脚轮：德国进口中控锁双面脚轮，推行更静音、安全、耐用。四个直径150mm的脚轮，推车四角都有脚轮控制系统，一脚制动，四轮同时固定。</w:t>
      </w:r>
    </w:p>
    <w:p w14:paraId="3A4A2764">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12.</w:t>
      </w:r>
      <w:r>
        <w:rPr>
          <w:rFonts w:hint="eastAsia" w:ascii="宋体" w:hAnsi="宋体" w:eastAsia="宋体" w:cs="宋体"/>
          <w:color w:val="000000"/>
          <w:sz w:val="24"/>
          <w:szCs w:val="24"/>
        </w:rPr>
        <w:t>独立的中心第五轮系统：推车的两侧都安装有控制踏杆，中心第五轮收起时即自由行进；使用时，即“直行”状态（踏杆离地高度70mm，通过性更好），克服运送过程中的惯性作用力，有效地控制前进方向，使运送过程更加安全。</w:t>
      </w:r>
    </w:p>
    <w:p w14:paraId="36D7F10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13.</w:t>
      </w:r>
      <w:r>
        <w:rPr>
          <w:rFonts w:hint="eastAsia" w:ascii="宋体" w:hAnsi="宋体" w:eastAsia="宋体" w:cs="宋体"/>
          <w:color w:val="000000"/>
          <w:sz w:val="24"/>
          <w:szCs w:val="24"/>
        </w:rPr>
        <w:t>床体下有二段式托盘，托盘分为大小、深浅不同的两部分，设有6个漏水孔，使用方便，托盘能承重10Kg。</w:t>
      </w:r>
    </w:p>
    <w:p w14:paraId="3F4CB58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14.</w:t>
      </w:r>
      <w:r>
        <w:rPr>
          <w:rFonts w:hint="eastAsia" w:ascii="宋体" w:hAnsi="宋体" w:eastAsia="宋体" w:cs="宋体"/>
          <w:color w:val="000000"/>
          <w:sz w:val="24"/>
          <w:szCs w:val="24"/>
        </w:rPr>
        <w:t>输液架收藏架，固定收藏输液架。</w:t>
      </w:r>
    </w:p>
    <w:p w14:paraId="1FD3778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15.</w:t>
      </w:r>
      <w:r>
        <w:rPr>
          <w:rFonts w:hint="eastAsia" w:ascii="宋体" w:hAnsi="宋体" w:eastAsia="宋体" w:cs="宋体"/>
          <w:color w:val="000000"/>
          <w:sz w:val="24"/>
          <w:szCs w:val="24"/>
        </w:rPr>
        <w:t>横向氧气瓶架设计，推行时不会碰撞，安装方便、可靠。可放置容量</w:t>
      </w:r>
      <w:r>
        <w:rPr>
          <w:rFonts w:hint="eastAsia" w:ascii="宋体" w:hAnsi="宋体" w:eastAsia="宋体" w:cs="宋体"/>
          <w:color w:val="000000"/>
          <w:sz w:val="24"/>
          <w:szCs w:val="24"/>
          <w:lang w:val="en-US" w:eastAsia="zh-CN"/>
        </w:rPr>
        <w:t>5-10</w:t>
      </w:r>
      <w:r>
        <w:rPr>
          <w:rFonts w:hint="eastAsia" w:ascii="宋体" w:hAnsi="宋体" w:eastAsia="宋体" w:cs="宋体"/>
          <w:color w:val="000000"/>
          <w:sz w:val="24"/>
          <w:szCs w:val="24"/>
        </w:rPr>
        <w:t>升（直径105-1</w:t>
      </w:r>
      <w:r>
        <w:rPr>
          <w:rFonts w:hint="eastAsia" w:ascii="宋体" w:hAnsi="宋体" w:eastAsia="宋体" w:cs="宋体"/>
          <w:color w:val="000000"/>
          <w:sz w:val="24"/>
          <w:szCs w:val="24"/>
          <w:lang w:val="en-US" w:eastAsia="zh-CN"/>
        </w:rPr>
        <w:t>40</w:t>
      </w:r>
      <w:r>
        <w:rPr>
          <w:rFonts w:hint="eastAsia" w:ascii="宋体" w:hAnsi="宋体" w:eastAsia="宋体" w:cs="宋体"/>
          <w:color w:val="000000"/>
          <w:sz w:val="24"/>
          <w:szCs w:val="24"/>
        </w:rPr>
        <w:t>mm）的氧气瓶。</w:t>
      </w:r>
    </w:p>
    <w:p w14:paraId="1A6A9A34">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16.</w:t>
      </w:r>
      <w:r>
        <w:rPr>
          <w:rFonts w:hint="eastAsia" w:ascii="宋体" w:hAnsi="宋体" w:eastAsia="宋体" w:cs="宋体"/>
          <w:color w:val="000000"/>
          <w:sz w:val="24"/>
          <w:szCs w:val="24"/>
        </w:rPr>
        <w:t>转运床垫：面料表面防水处理，易于清洗，四角装有拉链，外部面料可水洗；防静电3段式构造，只需一人操作即可以平行对接和转运病人。</w:t>
      </w:r>
    </w:p>
    <w:p w14:paraId="6DED7849">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17.</w:t>
      </w:r>
      <w:r>
        <w:rPr>
          <w:rFonts w:hint="eastAsia" w:ascii="宋体" w:hAnsi="宋体" w:eastAsia="宋体" w:cs="宋体"/>
          <w:color w:val="000000"/>
          <w:sz w:val="24"/>
          <w:szCs w:val="24"/>
        </w:rPr>
        <w:t xml:space="preserve">采用优质冷轧钢材，确保其平整性及材质刚性和韧性。 </w:t>
      </w:r>
    </w:p>
    <w:p w14:paraId="2ADA4EF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default" w:ascii="宋体" w:hAnsi="宋体" w:eastAsia="宋体" w:cs="宋体"/>
          <w:color w:val="000000"/>
          <w:kern w:val="2"/>
          <w:sz w:val="24"/>
          <w:szCs w:val="24"/>
          <w:lang w:val="en-US" w:eastAsia="zh-CN" w:bidi="ar-SA"/>
        </w:rPr>
        <w:t>18.</w:t>
      </w:r>
      <w:r>
        <w:rPr>
          <w:rFonts w:hint="eastAsia" w:ascii="宋体" w:hAnsi="宋体" w:eastAsia="宋体" w:cs="宋体"/>
          <w:color w:val="000000"/>
          <w:sz w:val="24"/>
          <w:szCs w:val="24"/>
        </w:rPr>
        <w:t xml:space="preserve">喷涂工艺增加磷化处理，喷涂涂附着力更强，保证钢材（尤其是管子内部）不生锈。 </w:t>
      </w:r>
    </w:p>
    <w:p w14:paraId="44384F86">
      <w:pPr>
        <w:pStyle w:val="5"/>
        <w:keepNext w:val="0"/>
        <w:keepLines w:val="0"/>
        <w:pageBreakBefore w:val="0"/>
        <w:widowControl w:val="0"/>
        <w:kinsoku/>
        <w:wordWrap/>
        <w:overflowPunct/>
        <w:topLinePunct w:val="0"/>
        <w:autoSpaceDE/>
        <w:autoSpaceDN/>
        <w:bidi w:val="0"/>
        <w:adjustRightInd/>
        <w:snapToGrid/>
        <w:spacing w:line="360" w:lineRule="atLeast"/>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eastAsia="宋体" w:cs="宋体"/>
          <w:color w:val="000000"/>
          <w:sz w:val="24"/>
          <w:szCs w:val="24"/>
          <w:lang w:val="en-US" w:eastAsia="zh-CN"/>
        </w:rPr>
        <w:t xml:space="preserve">3.19. </w:t>
      </w:r>
      <w:r>
        <w:rPr>
          <w:rFonts w:hint="eastAsia" w:ascii="宋体" w:hAnsi="宋体" w:eastAsia="宋体" w:cs="宋体"/>
          <w:color w:val="000000"/>
          <w:sz w:val="24"/>
          <w:szCs w:val="24"/>
        </w:rPr>
        <w:t>304不锈钢引流挂架，挂钩大，强度更高，更方便操作。</w:t>
      </w:r>
    </w:p>
    <w:p w14:paraId="225295D0">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p>
    <w:p w14:paraId="26BCEE2C">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5"/>
        <w:keepNext w:val="0"/>
        <w:keepLines w:val="0"/>
        <w:pageBreakBefore w:val="0"/>
        <w:widowControl w:val="0"/>
        <w:kinsoku/>
        <w:wordWrap/>
        <w:topLinePunct w:val="0"/>
        <w:autoSpaceDE/>
        <w:autoSpaceDN/>
        <w:bidi w:val="0"/>
        <w:snapToGrid/>
        <w:spacing w:line="40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1</w:t>
      </w:r>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质保期</w:t>
      </w:r>
      <w:r>
        <w:t>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5"/>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5"/>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5"/>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5"/>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90</w:t>
      </w:r>
      <w:r>
        <w:rPr>
          <w:rFonts w:hint="eastAsia" w:ascii="宋体" w:hAnsi="宋体" w:eastAsia="宋体" w:cs="宋体"/>
          <w:color w:val="auto"/>
          <w:sz w:val="24"/>
          <w:lang w:val="en-US" w:eastAsia="zh-CN"/>
        </w:rPr>
        <w:t>%；</w:t>
      </w:r>
      <w:r>
        <w:rPr>
          <w:rFonts w:hint="eastAsia" w:cs="宋体"/>
          <w:color w:val="auto"/>
          <w:sz w:val="24"/>
          <w:lang w:val="en-US" w:eastAsia="zh-CN"/>
        </w:rPr>
        <w:t>验收合格满</w:t>
      </w:r>
      <w:r>
        <w:rPr>
          <w:rFonts w:hint="eastAsia" w:ascii="宋体" w:hAnsi="宋体" w:eastAsia="宋体" w:cs="宋体"/>
          <w:color w:val="auto"/>
          <w:sz w:val="24"/>
          <w:lang w:val="en-US" w:eastAsia="zh-CN"/>
        </w:rPr>
        <w:t>1年后支付合同总金额的</w:t>
      </w:r>
      <w:r>
        <w:rPr>
          <w:rFonts w:hint="eastAsia" w:cs="宋体"/>
          <w:color w:val="auto"/>
          <w:sz w:val="24"/>
          <w:lang w:val="en-US" w:eastAsia="zh-CN"/>
        </w:rPr>
        <w:t>10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5"/>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0406F2A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2"/>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2"/>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484501"/>
    <w:rsid w:val="1F7A022C"/>
    <w:rsid w:val="1FBF6B0B"/>
    <w:rsid w:val="1FE43AF7"/>
    <w:rsid w:val="204A081C"/>
    <w:rsid w:val="205058A7"/>
    <w:rsid w:val="20714280"/>
    <w:rsid w:val="2073179F"/>
    <w:rsid w:val="207460AE"/>
    <w:rsid w:val="21427125"/>
    <w:rsid w:val="21CC3154"/>
    <w:rsid w:val="22947F00"/>
    <w:rsid w:val="23902475"/>
    <w:rsid w:val="239E61C1"/>
    <w:rsid w:val="248F084E"/>
    <w:rsid w:val="259801CB"/>
    <w:rsid w:val="268F0FD1"/>
    <w:rsid w:val="27644041"/>
    <w:rsid w:val="28FC4860"/>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3FBA127D"/>
    <w:rsid w:val="427A2742"/>
    <w:rsid w:val="42EA597B"/>
    <w:rsid w:val="435B5C38"/>
    <w:rsid w:val="43FD38FB"/>
    <w:rsid w:val="4411464B"/>
    <w:rsid w:val="441E338F"/>
    <w:rsid w:val="443156C4"/>
    <w:rsid w:val="44B831E3"/>
    <w:rsid w:val="44DF77BD"/>
    <w:rsid w:val="45104C9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E61D80"/>
    <w:rsid w:val="552B0390"/>
    <w:rsid w:val="560A5808"/>
    <w:rsid w:val="562A7CF5"/>
    <w:rsid w:val="56356D29"/>
    <w:rsid w:val="56383356"/>
    <w:rsid w:val="56537BBB"/>
    <w:rsid w:val="566D68DF"/>
    <w:rsid w:val="5691060A"/>
    <w:rsid w:val="56B1772C"/>
    <w:rsid w:val="56F47B21"/>
    <w:rsid w:val="572063DD"/>
    <w:rsid w:val="573C5230"/>
    <w:rsid w:val="57B81CF9"/>
    <w:rsid w:val="582F5D9D"/>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71626A"/>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6.jpeg"/><Relationship Id="rId17" Type="http://schemas.openxmlformats.org/officeDocument/2006/relationships/image" Target="media/image5.pn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9510</Words>
  <Characters>9973</Characters>
  <Lines>0</Lines>
  <Paragraphs>0</Paragraphs>
  <TotalTime>1</TotalTime>
  <ScaleCrop>false</ScaleCrop>
  <LinksUpToDate>false</LinksUpToDate>
  <CharactersWithSpaces>10057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2025-10-28T03:23:20Z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