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843627"/>
      <w:bookmarkEnd w:id="0"/>
      <w:bookmarkStart w:id="1" w:name="_Hlt10123373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eastAsia"/>
          <w:b/>
          <w:sz w:val="28"/>
          <w:lang w:eastAsia="zh-CN"/>
        </w:rPr>
      </w:pPr>
      <w:r>
        <w:rPr>
          <w:b/>
          <w:sz w:val="28"/>
        </w:rPr>
        <w:t>采购项目名称：</w:t>
      </w:r>
      <w:r>
        <w:rPr>
          <w:rFonts w:hint="eastAsia"/>
          <w:b/>
          <w:sz w:val="28"/>
          <w:lang w:eastAsia="zh-CN"/>
        </w:rPr>
        <w:t>邻水县人民医院</w:t>
      </w:r>
      <w:r>
        <w:rPr>
          <w:rFonts w:hint="eastAsia"/>
          <w:b/>
          <w:sz w:val="28"/>
          <w:lang w:val="en-US" w:eastAsia="zh-CN"/>
        </w:rPr>
        <w:t>其他广告视频设备</w:t>
      </w:r>
    </w:p>
    <w:p w14:paraId="14DDC134">
      <w:pPr>
        <w:pStyle w:val="29"/>
        <w:jc w:val="center"/>
        <w:outlineLvl w:val="2"/>
      </w:pPr>
      <w:r>
        <w:rPr>
          <w:b/>
          <w:sz w:val="28"/>
        </w:rPr>
        <w:t>采购项目编号：</w:t>
      </w:r>
      <w:r>
        <w:rPr>
          <w:rFonts w:hint="eastAsia" w:ascii="宋体"/>
          <w:b/>
          <w:sz w:val="30"/>
          <w:szCs w:val="30"/>
          <w:lang w:eastAsia="zh-CN"/>
        </w:rPr>
        <w:t>LYC-2025-09</w:t>
      </w:r>
      <w:r>
        <w:rPr>
          <w:rFonts w:hint="eastAsia" w:ascii="宋体"/>
          <w:b/>
          <w:sz w:val="30"/>
          <w:szCs w:val="30"/>
          <w:lang w:val="en-US" w:eastAsia="zh-CN"/>
        </w:rPr>
        <w:t>6</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5</w:t>
      </w:r>
      <w:r>
        <w:rPr>
          <w:b/>
          <w:sz w:val="28"/>
        </w:rPr>
        <w:t>年</w:t>
      </w:r>
      <w:r>
        <w:rPr>
          <w:rFonts w:hint="eastAsia"/>
          <w:b/>
          <w:sz w:val="28"/>
          <w:lang w:val="en-US" w:eastAsia="zh-CN"/>
        </w:rPr>
        <w:t>9</w:t>
      </w:r>
      <w:r>
        <w:rPr>
          <w:b/>
          <w:sz w:val="28"/>
        </w:rPr>
        <w:t>月</w:t>
      </w:r>
      <w:r>
        <w:rPr>
          <w:rFonts w:hint="eastAsia"/>
          <w:b/>
          <w:sz w:val="28"/>
          <w:lang w:val="en-US" w:eastAsia="zh-CN"/>
        </w:rPr>
        <w:t>27</w:t>
      </w:r>
      <w:r>
        <w:rPr>
          <w:b/>
          <w:sz w:val="28"/>
        </w:rPr>
        <w:t>日</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2769"/>
      <w:bookmarkStart w:id="3" w:name="_Toc30906"/>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LYC-2025-096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其他广告视频设备</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29.6</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28.7</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无。</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5</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10</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9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10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10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10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10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10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10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、李老师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、18728684306 </w:t>
      </w:r>
    </w:p>
    <w:p w14:paraId="29538C5F">
      <w:pPr>
        <w:pStyle w:val="21"/>
        <w:spacing w:line="440" w:lineRule="exact"/>
        <w:ind w:firstLine="1200" w:firstLineChars="500"/>
        <w:rPr>
          <w:rFonts w:hint="default"/>
          <w:sz w:val="24"/>
          <w:lang w:val="en-US" w:eastAsia="zh-CN"/>
        </w:rPr>
      </w:pPr>
    </w:p>
    <w:p w14:paraId="016FA503">
      <w:pPr>
        <w:pStyle w:val="14"/>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2960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2870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7"/>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15215"/>
      <w:bookmarkStart w:id="7" w:name="_Toc17067"/>
      <w:bookmarkStart w:id="8" w:name="_Toc24295"/>
      <w:bookmarkStart w:id="9" w:name="_Toc31240"/>
      <w:bookmarkStart w:id="10" w:name="_Toc13038"/>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w:t>
      </w:r>
      <w:r>
        <w:rPr>
          <w:rFonts w:hint="eastAsia" w:ascii="宋体" w:hAnsi="宋体"/>
          <w:sz w:val="24"/>
          <w:lang w:val="en-US" w:eastAsia="zh-CN"/>
        </w:rPr>
        <w:t>5</w:t>
      </w:r>
      <w:r>
        <w:rPr>
          <w:rFonts w:hint="eastAsia" w:ascii="宋体" w:hAnsi="宋体"/>
          <w:sz w:val="24"/>
        </w:rPr>
        <w:t>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w:t>
      </w:r>
      <w:r>
        <w:rPr>
          <w:rFonts w:hint="eastAsia" w:hAnsi="宋体"/>
          <w:sz w:val="24"/>
          <w:lang w:val="en-US" w:eastAsia="zh-CN"/>
        </w:rPr>
        <w:t>6</w:t>
      </w:r>
      <w:bookmarkStart w:id="34" w:name="_GoBack"/>
      <w:bookmarkEnd w:id="34"/>
      <w:r>
        <w:rPr>
          <w:rFonts w:hint="eastAsia" w:hAnsi="宋体"/>
          <w:sz w:val="24"/>
        </w:rPr>
        <w:t>回避。采购活动中，采购人员及相关人员与供应商有下列利害关系之一的，应当回避：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8"/>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174151"/>
      <w:bookmarkStart w:id="12" w:name="_Toc209847069"/>
      <w:bookmarkStart w:id="13" w:name="_Toc430773927"/>
      <w:bookmarkStart w:id="14" w:name="_Toc101250646"/>
      <w:bookmarkStart w:id="15" w:name="_Toc101338364"/>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7"/>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cs="Times New Roman"/>
          <w:b w:val="0"/>
          <w:bCs w:val="0"/>
          <w:sz w:val="24"/>
          <w:lang w:val="en-US" w:eastAsia="zh-CN"/>
        </w:rPr>
        <w:t>无</w:t>
      </w:r>
      <w:r>
        <w:rPr>
          <w:rFonts w:hint="eastAsia" w:ascii="宋体" w:hAnsi="宋体" w:eastAsia="宋体" w:cs="Times New Roman"/>
          <w:b w:val="0"/>
          <w:bCs w:val="0"/>
          <w:sz w:val="24"/>
          <w:lang w:val="en-US" w:eastAsia="zh-CN"/>
        </w:rPr>
        <w:t>。</w:t>
      </w:r>
    </w:p>
    <w:p w14:paraId="41FC2A9C">
      <w:pPr>
        <w:pStyle w:val="6"/>
        <w:spacing w:line="500" w:lineRule="exact"/>
        <w:ind w:firstLine="480" w:firstLineChars="200"/>
        <w:rPr>
          <w:rFonts w:hint="eastAsia" w:ascii="宋体" w:hAnsi="宋体" w:cs="宋体"/>
          <w:sz w:val="24"/>
          <w:szCs w:val="24"/>
        </w:rPr>
      </w:pPr>
    </w:p>
    <w:p w14:paraId="3F3D25DD">
      <w:pPr>
        <w:pStyle w:val="7"/>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183582231"/>
      <w:bookmarkStart w:id="17" w:name="_Toc217446056"/>
      <w:bookmarkStart w:id="18" w:name="_Toc89075878"/>
      <w:bookmarkStart w:id="19" w:name="_Toc183682368"/>
      <w:bookmarkStart w:id="20" w:name="_Toc77400782"/>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2325"/>
      <w:bookmarkStart w:id="22" w:name="_Toc2129"/>
      <w:bookmarkStart w:id="23" w:name="_Toc183682369"/>
      <w:bookmarkStart w:id="24" w:name="_Toc217446057"/>
      <w:bookmarkStart w:id="25" w:name="_Toc183582232"/>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31907"/>
      <w:bookmarkStart w:id="27"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6"/>
      <w:bookmarkEnd w:id="27"/>
      <w:bookmarkStart w:id="28" w:name="_Toc27680"/>
      <w:bookmarkStart w:id="29" w:name="_Toc3397"/>
      <w:r>
        <w:rPr>
          <w:sz w:val="24"/>
          <w:szCs w:val="32"/>
        </w:rPr>
        <w:t>邻水县人民医院拟对</w:t>
      </w:r>
      <w:r>
        <w:rPr>
          <w:rFonts w:hint="eastAsia" w:cs="Times New Roman"/>
          <w:sz w:val="24"/>
          <w:szCs w:val="32"/>
          <w:lang w:eastAsia="zh-CN"/>
        </w:rPr>
        <w:t>其他广告视频设备</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420" w:firstLineChars="200"/>
        <w:rPr>
          <w:rFonts w:hint="eastAsia" w:ascii="宋体" w:hAnsi="宋体" w:cs="宋体"/>
          <w:b/>
          <w:bCs/>
          <w:color w:val="000000"/>
          <w:sz w:val="28"/>
          <w:szCs w:val="28"/>
          <w:lang w:val="en-US" w:eastAsia="zh-CN"/>
        </w:rPr>
      </w:pPr>
      <w:r>
        <w:rPr>
          <w:rFonts w:ascii="仿宋_GB2312" w:hAnsi="仿宋_GB2312" w:eastAsia="仿宋_GB2312" w:cs="仿宋_GB2312"/>
        </w:rPr>
        <w:t>★</w:t>
      </w:r>
      <w:r>
        <w:rPr>
          <w:rFonts w:hint="eastAsia" w:ascii="宋体" w:hAnsi="宋体" w:cs="宋体"/>
          <w:b/>
          <w:bCs/>
          <w:color w:val="000000"/>
          <w:sz w:val="28"/>
          <w:szCs w:val="28"/>
          <w:lang w:val="en-US" w:eastAsia="zh-CN"/>
        </w:rPr>
        <w:t>二、项目清单</w:t>
      </w:r>
    </w:p>
    <w:tbl>
      <w:tblPr>
        <w:tblStyle w:val="1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4"/>
        <w:gridCol w:w="3475"/>
        <w:gridCol w:w="1164"/>
        <w:gridCol w:w="1440"/>
        <w:gridCol w:w="1082"/>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1004"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3475"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1164"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440"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082"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1004"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3475" w:type="dxa"/>
            <w:vAlign w:val="center"/>
          </w:tcPr>
          <w:p w14:paraId="2DA204F4">
            <w:pPr>
              <w:adjustRightInd w:val="0"/>
              <w:snapToGrid w:val="0"/>
              <w:spacing w:line="400" w:lineRule="exact"/>
              <w:jc w:val="center"/>
              <w:rPr>
                <w:rFonts w:hint="eastAsia"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其他广告视频设备</w:t>
            </w:r>
          </w:p>
        </w:tc>
        <w:tc>
          <w:tcPr>
            <w:tcW w:w="1164"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台</w:t>
            </w:r>
          </w:p>
        </w:tc>
        <w:tc>
          <w:tcPr>
            <w:tcW w:w="1440" w:type="dxa"/>
            <w:tcBorders>
              <w:top w:val="single" w:color="auto" w:sz="4" w:space="0"/>
              <w:bottom w:val="single" w:color="auto" w:sz="4" w:space="0"/>
            </w:tcBorders>
            <w:vAlign w:val="center"/>
          </w:tcPr>
          <w:p w14:paraId="653E54DD">
            <w:pPr>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宋体" w:hAnsi="宋体" w:cs="宋体"/>
                <w:color w:val="auto"/>
                <w:kern w:val="0"/>
                <w:sz w:val="24"/>
                <w:szCs w:val="24"/>
                <w:highlight w:val="none"/>
                <w:u w:val="none"/>
                <w:lang w:val="en-US" w:eastAsia="zh-CN"/>
              </w:rPr>
              <w:t>20</w:t>
            </w:r>
          </w:p>
        </w:tc>
        <w:tc>
          <w:tcPr>
            <w:tcW w:w="1082" w:type="dxa"/>
            <w:tcBorders>
              <w:top w:val="single" w:color="auto" w:sz="4" w:space="0"/>
              <w:bottom w:val="single" w:color="auto" w:sz="4" w:space="0"/>
            </w:tcBorders>
            <w:vAlign w:val="center"/>
          </w:tcPr>
          <w:p w14:paraId="1CFDF64B">
            <w:pPr>
              <w:pStyle w:val="29"/>
              <w:jc w:val="center"/>
              <w:rPr>
                <w:rFonts w:hint="eastAsia" w:asciiTheme="minorEastAsia" w:hAnsiTheme="minorEastAsia" w:eastAsiaTheme="minorEastAsia" w:cstheme="minorEastAsia"/>
                <w:sz w:val="22"/>
                <w:szCs w:val="22"/>
              </w:rPr>
            </w:pPr>
          </w:p>
        </w:tc>
      </w:tr>
    </w:tbl>
    <w:p w14:paraId="2AE89240">
      <w:pPr>
        <w:pStyle w:val="3"/>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56857DB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p>
    <w:tbl>
      <w:tblPr>
        <w:tblStyle w:val="15"/>
        <w:tblW w:w="9032" w:type="dxa"/>
        <w:jc w:val="center"/>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15" w:type="dxa"/>
          <w:left w:w="15" w:type="dxa"/>
          <w:bottom w:w="15" w:type="dxa"/>
          <w:right w:w="15" w:type="dxa"/>
        </w:tblCellMar>
      </w:tblPr>
      <w:tblGrid>
        <w:gridCol w:w="635"/>
        <w:gridCol w:w="864"/>
        <w:gridCol w:w="7533"/>
      </w:tblGrid>
      <w:tr w14:paraId="3B348AB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53" w:hRule="atLeast"/>
          <w:jc w:val="center"/>
        </w:trPr>
        <w:tc>
          <w:tcPr>
            <w:tcW w:w="635" w:type="dxa"/>
            <w:tcBorders>
              <w:top w:val="single" w:color="auto" w:sz="4" w:space="0"/>
              <w:left w:val="single" w:color="auto" w:sz="4" w:space="0"/>
              <w:right w:val="single" w:color="auto" w:sz="4" w:space="0"/>
            </w:tcBorders>
            <w:shd w:val="clear" w:color="auto" w:fill="FFFFFF"/>
            <w:tcMar>
              <w:top w:w="0" w:type="dxa"/>
              <w:left w:w="105" w:type="dxa"/>
              <w:bottom w:w="0" w:type="dxa"/>
              <w:right w:w="105" w:type="dxa"/>
            </w:tcMar>
            <w:vAlign w:val="center"/>
          </w:tcPr>
          <w:p w14:paraId="14FEC9F7">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eastAsia" w:cs="Times New Roman"/>
                <w:b w:val="0"/>
                <w:bCs w:val="0"/>
                <w:i w:val="0"/>
                <w:color w:val="auto"/>
                <w:kern w:val="0"/>
                <w:sz w:val="24"/>
                <w:szCs w:val="24"/>
                <w:u w:val="none"/>
                <w:lang w:val="en-US" w:eastAsia="zh-CN" w:bidi="ar-SA"/>
              </w:rPr>
              <w:t>序号</w:t>
            </w:r>
          </w:p>
        </w:tc>
        <w:tc>
          <w:tcPr>
            <w:tcW w:w="864" w:type="dxa"/>
            <w:tcBorders>
              <w:top w:val="single" w:color="auto" w:sz="6" w:space="0"/>
              <w:left w:val="single" w:color="auto" w:sz="4" w:space="0"/>
              <w:bottom w:val="single" w:color="auto" w:sz="6" w:space="0"/>
              <w:right w:val="single" w:color="auto" w:sz="6" w:space="0"/>
            </w:tcBorders>
            <w:shd w:val="clear" w:color="auto" w:fill="FFFFFF"/>
            <w:vAlign w:val="center"/>
          </w:tcPr>
          <w:p w14:paraId="24955EA5">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eastAsia" w:cs="Times New Roman"/>
                <w:b w:val="0"/>
                <w:bCs w:val="0"/>
                <w:i w:val="0"/>
                <w:color w:val="auto"/>
                <w:kern w:val="0"/>
                <w:sz w:val="24"/>
                <w:szCs w:val="24"/>
                <w:u w:val="none"/>
                <w:lang w:val="en-US" w:eastAsia="zh-CN" w:bidi="ar-SA"/>
              </w:rPr>
              <w:t>产品名称</w:t>
            </w:r>
          </w:p>
        </w:tc>
        <w:tc>
          <w:tcPr>
            <w:tcW w:w="7533" w:type="dxa"/>
            <w:tcBorders>
              <w:top w:val="single" w:color="auto" w:sz="6" w:space="0"/>
              <w:left w:val="single" w:color="auto" w:sz="4" w:space="0"/>
              <w:bottom w:val="single" w:color="auto" w:sz="6" w:space="0"/>
              <w:right w:val="single" w:color="auto" w:sz="6" w:space="0"/>
            </w:tcBorders>
            <w:shd w:val="clear" w:color="auto" w:fill="FFFFFF"/>
            <w:vAlign w:val="center"/>
          </w:tcPr>
          <w:p w14:paraId="4F1FB07E">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eastAsia" w:cs="Times New Roman"/>
                <w:b w:val="0"/>
                <w:bCs w:val="0"/>
                <w:i w:val="0"/>
                <w:color w:val="auto"/>
                <w:kern w:val="0"/>
                <w:sz w:val="24"/>
                <w:szCs w:val="24"/>
                <w:u w:val="none"/>
                <w:lang w:val="en-US" w:eastAsia="zh-CN" w:bidi="ar-SA"/>
              </w:rPr>
              <w:t>技术参数</w:t>
            </w:r>
          </w:p>
        </w:tc>
      </w:tr>
      <w:tr w14:paraId="256860C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156" w:hRule="atLeast"/>
          <w:jc w:val="center"/>
        </w:trPr>
        <w:tc>
          <w:tcPr>
            <w:tcW w:w="635"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788F3E0E">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eastAsia" w:cs="Times New Roman"/>
                <w:b w:val="0"/>
                <w:bCs w:val="0"/>
                <w:i w:val="0"/>
                <w:color w:val="auto"/>
                <w:kern w:val="0"/>
                <w:sz w:val="24"/>
                <w:szCs w:val="24"/>
                <w:u w:val="none"/>
                <w:lang w:val="en-US" w:eastAsia="zh-CN" w:bidi="ar-SA"/>
              </w:rPr>
              <w:t>1</w:t>
            </w:r>
          </w:p>
        </w:tc>
        <w:tc>
          <w:tcPr>
            <w:tcW w:w="864" w:type="dxa"/>
            <w:tcBorders>
              <w:top w:val="single" w:color="auto" w:sz="6" w:space="0"/>
              <w:left w:val="single" w:color="auto" w:sz="4" w:space="0"/>
              <w:bottom w:val="single" w:color="auto" w:sz="6" w:space="0"/>
              <w:right w:val="single" w:color="auto" w:sz="6" w:space="0"/>
            </w:tcBorders>
            <w:shd w:val="clear" w:color="auto" w:fill="FFFFFF"/>
            <w:vAlign w:val="center"/>
          </w:tcPr>
          <w:p w14:paraId="4AC44762">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55寸立柜发布终端</w:t>
            </w:r>
          </w:p>
        </w:tc>
        <w:tc>
          <w:tcPr>
            <w:tcW w:w="7533" w:type="dxa"/>
            <w:tcBorders>
              <w:top w:val="single" w:color="auto" w:sz="6" w:space="0"/>
              <w:left w:val="single" w:color="auto" w:sz="4" w:space="0"/>
              <w:bottom w:val="single" w:color="auto" w:sz="6" w:space="0"/>
              <w:right w:val="single" w:color="auto" w:sz="6" w:space="0"/>
            </w:tcBorders>
            <w:shd w:val="clear" w:color="auto" w:fill="FFFFFF"/>
            <w:vAlign w:val="center"/>
          </w:tcPr>
          <w:p w14:paraId="5F59E447">
            <w:pPr>
              <w:keepNext w:val="0"/>
              <w:keepLines w:val="0"/>
              <w:pageBreakBefore w:val="0"/>
              <w:numPr>
                <w:ilvl w:val="0"/>
                <w:numId w:val="0"/>
              </w:numPr>
              <w:kinsoku/>
              <w:wordWrap/>
              <w:topLinePunct w:val="0"/>
              <w:autoSpaceDE/>
              <w:autoSpaceDN/>
              <w:bidi w:val="0"/>
              <w:snapToGrid/>
              <w:spacing w:line="360" w:lineRule="exact"/>
              <w:ind w:left="0" w:leftChars="0" w:firstLine="218" w:firstLineChars="91"/>
              <w:jc w:val="left"/>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lang w:val="en-US" w:eastAsia="zh-CN" w:bidi="ar"/>
              </w:rPr>
              <w:t>1.</w:t>
            </w:r>
            <w:r>
              <w:rPr>
                <w:rFonts w:hint="eastAsia" w:ascii="宋体" w:hAnsi="宋体" w:eastAsia="宋体" w:cs="宋体"/>
                <w:i w:val="0"/>
                <w:color w:val="000000"/>
                <w:kern w:val="0"/>
                <w:sz w:val="24"/>
                <w:szCs w:val="24"/>
                <w:u w:val="none"/>
                <w:lang w:val="en-US" w:eastAsia="zh-CN" w:bidi="ar"/>
              </w:rPr>
              <w:t>立柜式信息发布终端，屏幕尺寸：≥ 55英寸，分辨率≥3840*2160，设备质保3年。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2.系统为≥Android 8.1，内存≥ 2G，存储≥16 G，支持1000M 自适应以太网口 ,内置 WiFi功能，支持蓝牙 4.0。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3.设备有温度保护功能，从主板获取的温度高于设定温度时应自动关机，恢复到安全值时自动开机。</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4.支持通过C/S端、B/S端、手机、平板移动端、设备本地等多重管理。</w:t>
            </w:r>
            <w:r>
              <w:rPr>
                <w:rFonts w:hint="eastAsia" w:ascii="宋体" w:hAnsi="宋体" w:eastAsia="宋体" w:cs="宋体"/>
                <w:i w:val="0"/>
                <w:color w:val="FF0000"/>
                <w:kern w:val="0"/>
                <w:sz w:val="24"/>
                <w:szCs w:val="24"/>
                <w:u w:val="none"/>
                <w:lang w:val="en-US" w:eastAsia="zh-CN" w:bidi="ar"/>
              </w:rPr>
              <w:t>（提供国家权威检测机构出具的检测报告复印件或功能截图佐证）</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5.产品支持功能：添加素材、修改素材、删除素材、审核素材、素材预览，下载素材素材模糊搜索，素材精确搜索，替換素材。</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6.支持素材类型：图片（bmp、jpg、png、动画（gif）、音频（mp3、wav、wma）、视频（rm、rmvb、asf、avi、mpg、3gp、mov、mkv、wmv、flv、mp4、文本（txt）、PDF、Word、PPT、Excel、网页（静态：html/htm:；动态：URL、APP、网络摄像机（IPC)、URL图片、流媒体服务器（过流媒体的取流链接）、通用数据（弹图、叫号、抓拍）、数据源（支持实时动态更新的图片、视频、文字）</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7.产品支持新建节目，修改节目（名称、分辨率、属性、描述口），删除节目，复制节目（复制节目模板和完全复制两种），节目预览，审核节日（通过、未通过），隐藏锁定窗口。</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8.支持的节目分辨率：1920*1080、1080*1920、2160*3840、3840*2160、支持自定义分辨率（自定义分辨率最大支持3840*3840）。</w:t>
            </w:r>
          </w:p>
          <w:p w14:paraId="10D295EB">
            <w:pPr>
              <w:keepNext w:val="0"/>
              <w:keepLines w:val="0"/>
              <w:pageBreakBefore w:val="0"/>
              <w:numPr>
                <w:ilvl w:val="0"/>
                <w:numId w:val="0"/>
              </w:numPr>
              <w:kinsoku/>
              <w:wordWrap/>
              <w:topLinePunct w:val="0"/>
              <w:autoSpaceDE/>
              <w:autoSpaceDN/>
              <w:bidi w:val="0"/>
              <w:snapToGrid/>
              <w:spacing w:line="360" w:lineRule="exact"/>
              <w:ind w:left="0" w:leftChars="0" w:firstLine="218" w:firstLineChars="91"/>
              <w:jc w:val="left"/>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支持多个页面（至少支持32个组成，页面包括多个窗口至少支持16个，同一个页面中的窗口类型可以不一样），支持一个页面不同的窗口播放不同的素材同时可以添加时钟窗口（时钟的样式可选）、倒计时窗口，也可以添加节目单背景图。</w:t>
            </w:r>
            <w:r>
              <w:rPr>
                <w:rFonts w:hint="eastAsia" w:ascii="宋体" w:hAnsi="宋体" w:eastAsia="宋体" w:cs="宋体"/>
                <w:i w:val="0"/>
                <w:color w:val="FF0000"/>
                <w:kern w:val="0"/>
                <w:sz w:val="24"/>
                <w:szCs w:val="24"/>
                <w:u w:val="none"/>
                <w:lang w:val="en-US" w:eastAsia="zh-CN" w:bidi="ar"/>
              </w:rPr>
              <w:t>（提供国家权威检测机构出具的检测报告复印件或功能截图佐证）</w:t>
            </w:r>
            <w:r>
              <w:rPr>
                <w:rFonts w:hint="eastAsia" w:ascii="宋体" w:hAnsi="宋体" w:eastAsia="宋体" w:cs="宋体"/>
                <w:i w:val="0"/>
                <w:color w:val="FF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10.支持按日播放，按周播放，轮播，自定义播放（年365天自定义播放），垫片日程；支持日程按终端组和按终端方式发布，支持定时发布和预发布功能。</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11.信息发布的硬件设备，出厂都为未激活状态到客户现场都必须要设置初始密码才能使用信息发布功能</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12.制作终端的播放内容时，需要经过三层审核（素材审核、节目审核、日程审核），可通过设置专人进行终端播放内容审核权限，未审核通过的内容不能发布到终端进行播放，保障节目内容的安全。客户端登录，传输敏感信息加密，使用RSA方式交换秘钥，使用秘钥进行AES加密，对报文体进行全加密。</w:t>
            </w:r>
            <w:r>
              <w:rPr>
                <w:rFonts w:hint="eastAsia" w:ascii="宋体" w:hAnsi="宋体" w:eastAsia="宋体" w:cs="宋体"/>
                <w:i w:val="0"/>
                <w:color w:val="FF0000"/>
                <w:kern w:val="0"/>
                <w:sz w:val="24"/>
                <w:szCs w:val="24"/>
                <w:u w:val="none"/>
                <w:lang w:val="en-US" w:eastAsia="zh-CN" w:bidi="ar"/>
              </w:rPr>
              <w:t>（提供国家权威检测机构出具的检测报告复印件或功能截图佐证）</w:t>
            </w:r>
            <w:r>
              <w:rPr>
                <w:rFonts w:hint="eastAsia" w:ascii="宋体" w:hAnsi="宋体" w:eastAsia="宋体" w:cs="宋体"/>
                <w:i w:val="0"/>
                <w:color w:val="FF0000"/>
                <w:kern w:val="0"/>
                <w:sz w:val="24"/>
                <w:szCs w:val="24"/>
                <w:u w:val="none"/>
                <w:lang w:val="en-US" w:eastAsia="zh-CN" w:bidi="ar"/>
              </w:rPr>
              <w:br w:type="textWrapping"/>
            </w:r>
            <w:r>
              <w:rPr>
                <w:rFonts w:hint="eastAsia" w:ascii="宋体" w:hAnsi="宋体" w:eastAsia="宋体" w:cs="宋体"/>
                <w:i w:val="0"/>
                <w:color w:val="FF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13.终端安全策略:锁屏策略，终端具备自动锁屏功能，不输入解锁密码不能退出播放系统，保障播放系统安全;保护策略，信息发布软件具备非前台自动保护机制，当信息发布软件被非解锁操作后退出到后台运行时，保护机制会快速将信息发布重新强制前台，保障信息发布设备的播放内容;播放策略，终端设备播放时会进行素材文件的 MD5 或者抽样文件校验，无法通过校验的素材不会进行播放，防止播放素材的篡改。</w:t>
            </w:r>
            <w:r>
              <w:rPr>
                <w:rFonts w:hint="eastAsia" w:ascii="宋体" w:hAnsi="宋体" w:eastAsia="宋体" w:cs="宋体"/>
                <w:i w:val="0"/>
                <w:color w:val="FF0000"/>
                <w:kern w:val="0"/>
                <w:sz w:val="24"/>
                <w:szCs w:val="24"/>
                <w:u w:val="none"/>
                <w:lang w:val="en-US" w:eastAsia="zh-CN" w:bidi="ar"/>
              </w:rPr>
              <w:t>（提供国家权威检测机构出具的检测报告复印件或功能截图佐证）</w:t>
            </w:r>
            <w:r>
              <w:rPr>
                <w:rFonts w:hint="eastAsia" w:ascii="宋体" w:hAnsi="宋体" w:eastAsia="宋体" w:cs="宋体"/>
                <w:i w:val="0"/>
                <w:color w:val="FF0000"/>
                <w:kern w:val="0"/>
                <w:sz w:val="24"/>
                <w:szCs w:val="24"/>
                <w:u w:val="none"/>
                <w:lang w:val="en-US" w:eastAsia="zh-CN" w:bidi="ar"/>
              </w:rPr>
              <w:br w:type="textWrapping"/>
            </w:r>
            <w:r>
              <w:rPr>
                <w:rFonts w:hint="eastAsia" w:ascii="宋体" w:hAnsi="宋体" w:eastAsia="宋体" w:cs="宋体"/>
                <w:i w:val="0"/>
                <w:color w:val="FF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14.支持功能：添加终端（一个服务器可关联1000个终端），删除终端，修改终端（名称、特征码、分组、描述）终端分组管理。</w:t>
            </w:r>
            <w:r>
              <w:rPr>
                <w:rFonts w:hint="eastAsia" w:ascii="宋体" w:hAnsi="宋体" w:eastAsia="宋体" w:cs="宋体"/>
                <w:i w:val="0"/>
                <w:color w:val="FF0000"/>
                <w:kern w:val="0"/>
                <w:sz w:val="24"/>
                <w:szCs w:val="24"/>
                <w:u w:val="none"/>
                <w:lang w:val="en-US" w:eastAsia="zh-CN" w:bidi="ar"/>
              </w:rPr>
              <w:t>（提供国家权威检测机构出具的检测报告复印件或功能截图佐证）</w:t>
            </w:r>
            <w:r>
              <w:rPr>
                <w:rFonts w:hint="eastAsia" w:ascii="宋体" w:hAnsi="宋体" w:eastAsia="宋体" w:cs="宋体"/>
                <w:i w:val="0"/>
                <w:color w:val="FF0000"/>
                <w:kern w:val="0"/>
                <w:sz w:val="24"/>
                <w:szCs w:val="24"/>
                <w:u w:val="none"/>
                <w:lang w:val="en-US" w:eastAsia="zh-CN" w:bidi="ar"/>
              </w:rPr>
              <w:br w:type="textWrapping"/>
            </w:r>
            <w:r>
              <w:rPr>
                <w:rFonts w:hint="eastAsia" w:ascii="宋体" w:hAnsi="宋体" w:eastAsia="宋体" w:cs="宋体"/>
                <w:i w:val="0"/>
                <w:color w:val="FF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15.终端支持功能：定时开关机设置（支持按周、按日配置，每天至少可配置8组策略），时段音量设置（支持按日、按周配置，每人至少可配置8组策略），终端亮度设置，默认音量设置，开机logo设置，终端关联服务器，垫片日程开关、终端密码修改温度保护、终端adb调试、时区设置、SADP开关、附加组件信息（显示SADP、SDK、本地升级、遥控器配对的软件版本号）、终端网络设置、通道关联；</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16.终端支持功能：终端开机，终端关机，终端重启，终端升级，终端播放，停止播放，査看终端日程，终端截屏，定时开关机生效，定时开关机失效，定时音量生效，定时音量失效，插播节目或素材，插播文字消息，停止插播，显示发布进度，隐藏发布进度，恢复默认参数、终端远程升级。</w:t>
            </w:r>
          </w:p>
          <w:p w14:paraId="414F92DA">
            <w:pPr>
              <w:keepNext w:val="0"/>
              <w:keepLines w:val="0"/>
              <w:pageBreakBefore w:val="0"/>
              <w:numPr>
                <w:ilvl w:val="0"/>
                <w:numId w:val="0"/>
              </w:numPr>
              <w:kinsoku/>
              <w:wordWrap/>
              <w:topLinePunct w:val="0"/>
              <w:autoSpaceDE/>
              <w:autoSpaceDN/>
              <w:bidi w:val="0"/>
              <w:snapToGrid/>
              <w:spacing w:line="360" w:lineRule="exact"/>
              <w:ind w:left="0" w:leftChars="0" w:firstLine="218" w:firstLineChars="91"/>
              <w:jc w:val="left"/>
              <w:rPr>
                <w:rFonts w:hint="default" w:ascii="Times New Roman" w:hAnsi="Times New Roman" w:eastAsia="宋体" w:cs="Times New Roman"/>
                <w:sz w:val="24"/>
                <w:szCs w:val="24"/>
                <w:lang w:val="en-US" w:eastAsia="zh-CN"/>
              </w:rPr>
            </w:pPr>
            <w:r>
              <w:rPr>
                <w:rFonts w:hint="eastAsia" w:ascii="宋体" w:hAnsi="宋体" w:eastAsia="宋体" w:cs="宋体"/>
                <w:i w:val="0"/>
                <w:color w:val="000000"/>
                <w:kern w:val="0"/>
                <w:sz w:val="24"/>
                <w:szCs w:val="24"/>
                <w:u w:val="none"/>
                <w:lang w:val="en-US" w:eastAsia="zh-CN" w:bidi="ar"/>
              </w:rPr>
              <w:t>17.在同一局域网内同一发布的内容，屏慕的播放进度都能够保持一致。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18.支持设置系统方向，包括0度、90度、180度、270度、 360度。</w:t>
            </w:r>
          </w:p>
        </w:tc>
      </w:tr>
      <w:tr w14:paraId="55749AD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94" w:hRule="atLeast"/>
          <w:jc w:val="center"/>
        </w:trPr>
        <w:tc>
          <w:tcPr>
            <w:tcW w:w="635" w:type="dxa"/>
            <w:tcBorders>
              <w:top w:val="single" w:color="auto" w:sz="4" w:space="0"/>
              <w:left w:val="single" w:color="auto" w:sz="4" w:space="0"/>
              <w:right w:val="single" w:color="auto" w:sz="4" w:space="0"/>
            </w:tcBorders>
            <w:shd w:val="clear" w:color="auto" w:fill="FFFFFF"/>
            <w:tcMar>
              <w:top w:w="0" w:type="dxa"/>
              <w:left w:w="105" w:type="dxa"/>
              <w:bottom w:w="0" w:type="dxa"/>
              <w:right w:w="105" w:type="dxa"/>
            </w:tcMar>
            <w:vAlign w:val="center"/>
          </w:tcPr>
          <w:p w14:paraId="2E654298">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eastAsia" w:cs="Times New Roman"/>
                <w:b w:val="0"/>
                <w:bCs w:val="0"/>
                <w:i w:val="0"/>
                <w:color w:val="auto"/>
                <w:kern w:val="0"/>
                <w:sz w:val="24"/>
                <w:szCs w:val="24"/>
                <w:u w:val="none"/>
                <w:lang w:val="en-US" w:eastAsia="zh-CN" w:bidi="ar-SA"/>
              </w:rPr>
              <w:t>2</w:t>
            </w:r>
          </w:p>
        </w:tc>
        <w:tc>
          <w:tcPr>
            <w:tcW w:w="864" w:type="dxa"/>
            <w:tcBorders>
              <w:top w:val="single" w:color="auto" w:sz="6" w:space="0"/>
              <w:left w:val="single" w:color="auto" w:sz="4" w:space="0"/>
              <w:right w:val="single" w:color="auto" w:sz="6" w:space="0"/>
            </w:tcBorders>
            <w:shd w:val="clear" w:color="auto" w:fill="FFFFFF"/>
            <w:vAlign w:val="center"/>
          </w:tcPr>
          <w:p w14:paraId="2BD5DD73">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信息发布管理软件平台</w:t>
            </w:r>
          </w:p>
        </w:tc>
        <w:tc>
          <w:tcPr>
            <w:tcW w:w="7533" w:type="dxa"/>
            <w:tcBorders>
              <w:top w:val="single" w:color="auto" w:sz="6" w:space="0"/>
              <w:left w:val="single" w:color="auto" w:sz="4" w:space="0"/>
              <w:bottom w:val="single" w:color="auto" w:sz="6" w:space="0"/>
              <w:right w:val="single" w:color="auto" w:sz="6" w:space="0"/>
            </w:tcBorders>
            <w:shd w:val="clear" w:color="auto" w:fill="FFFFFF"/>
            <w:vAlign w:val="center"/>
          </w:tcPr>
          <w:p w14:paraId="396D3A0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218" w:firstLineChars="91"/>
              <w:jc w:val="left"/>
              <w:textAlignment w:val="auto"/>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lang w:val="en-US" w:eastAsia="zh-CN" w:bidi="ar"/>
              </w:rPr>
              <w:t>1.</w:t>
            </w:r>
            <w:r>
              <w:rPr>
                <w:rFonts w:hint="eastAsia" w:ascii="宋体" w:hAnsi="宋体" w:eastAsia="宋体" w:cs="宋体"/>
                <w:i w:val="0"/>
                <w:color w:val="000000"/>
                <w:kern w:val="0"/>
                <w:sz w:val="24"/>
                <w:szCs w:val="24"/>
                <w:u w:val="none"/>
                <w:lang w:val="en-US" w:eastAsia="zh-CN" w:bidi="ar"/>
              </w:rPr>
              <w:t>支持系统部署在欧拉操作系统、银河麒麟操作系统环境中；平台与设备通讯支持传输信息国密加密，具有多媒体信息发布、诱导发布、终端巡检、多级权限审核、违规内容智能检测等功能；配套1台平台管理主机。</w:t>
            </w:r>
          </w:p>
          <w:p w14:paraId="5005F6F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0" w:firstLineChars="100"/>
              <w:jc w:val="left"/>
              <w:textAlignment w:val="auto"/>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2.支持配置不同角色权限，包括菜单权限、组织权限、区域权限、资源权限、功能控制权限。</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3.素材、节目、节目模板、设备支持分组管理，各资源分组相互独立。</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4.支持发布静态/动态素材，静态素材包括：图片、音频、Word、Excel、PPT、PDF、视频、apk、自解压应用程序等；动态素材包括：网页、视频直播、数据源等。</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5.支持可视化编排节目，单个节目支持添加16个页面，单页面支持添加32个窗口，单个窗口支持添加64个素材。</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6.信息发布节目支持创建文字、图片、视频、网页、按钮、文档、视频直播、应用程序、天气、时钟、倒计时等单一窗口及复合窗口，支持关联背景音乐。</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7.诱导节目支持添加文字、图片、视频、视频直播、网页窗口；支持文字、图片、视频窗口自适应，同一个节目下发给不同分辨率的屏可自动适配到合适的展示效果；</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8.支持编排多种节目播放计划，包括按天、按周、自定义、轮播、垫片；支持生效方式包括：立即生效和定时生效，支持下载方式包括：立即下载、定时下载。</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9.终端巡检：支持对单个/批量信息发布终端显示画面进行回传显示；支持控制终端开机、关机、重启、播放、停止、插播素材/节目、取消插播、停止插播、定时开关生效/失效、定时音量开/关、隐藏/显示终端屏幕上的发布进度、同步播放开启/关闭、添加/取消文字消息等终端控制操作。支持导出设备日志，支持清空播放节目。</w:t>
            </w:r>
            <w:r>
              <w:rPr>
                <w:rFonts w:hint="eastAsia" w:ascii="宋体" w:hAnsi="宋体" w:eastAsia="宋体" w:cs="宋体"/>
                <w:i w:val="0"/>
                <w:color w:val="FF0000"/>
                <w:kern w:val="0"/>
                <w:sz w:val="24"/>
                <w:szCs w:val="24"/>
                <w:u w:val="none"/>
                <w:lang w:val="en-US" w:eastAsia="zh-CN" w:bidi="ar"/>
              </w:rPr>
              <w:t>（提供国家权威检测机构出具的检测报告复印件或功能截图佐证）</w:t>
            </w:r>
            <w:r>
              <w:rPr>
                <w:rFonts w:hint="eastAsia" w:ascii="宋体" w:hAnsi="宋体" w:eastAsia="宋体" w:cs="宋体"/>
                <w:i w:val="0"/>
                <w:color w:val="FF0000"/>
                <w:kern w:val="0"/>
                <w:sz w:val="24"/>
                <w:szCs w:val="24"/>
                <w:u w:val="none"/>
                <w:lang w:val="en-US" w:eastAsia="zh-CN" w:bidi="ar"/>
              </w:rPr>
              <w:br w:type="textWrapping"/>
            </w:r>
            <w:r>
              <w:rPr>
                <w:rFonts w:hint="eastAsia" w:ascii="宋体" w:hAnsi="宋体" w:eastAsia="宋体" w:cs="宋体"/>
                <w:i w:val="0"/>
                <w:color w:val="FF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10.终端巡检：支持对单个/批量诱导发布终端显示画面进行回传显示；支持远程终端控制开机、关机、插播、停止插播、定时开关生效/失效等终端控制操作。</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11.支持地图上添加诱导屏，并展示屏的位置、名称、在线状态、离线状态；支持框选、搜索、聚合操作；支持单个/批量控制开机、关机、插播、停止插播、参数配置，也支持展示该诱导屏预览画面。</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12.快速发布：支持图片、视频、文档等节目快速发布到终端，内部编排、终端屏幕选择、播放参数设置、发布节目，所有操作均在一个页面中进行，满足用户对于敏捷发布的需求。</w:t>
            </w:r>
          </w:p>
          <w:p w14:paraId="3DAB327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0" w:firstLineChars="100"/>
              <w:jc w:val="left"/>
              <w:textAlignment w:val="auto"/>
              <w:rPr>
                <w:rFonts w:hint="default" w:ascii="Times New Roman" w:hAnsi="Times New Roman" w:eastAsia="宋体" w:cs="Times New Roman"/>
                <w:sz w:val="24"/>
                <w:szCs w:val="24"/>
                <w:lang w:val="en-US" w:eastAsia="zh-CN"/>
              </w:rPr>
            </w:pPr>
            <w:r>
              <w:rPr>
                <w:rFonts w:hint="eastAsia" w:ascii="宋体" w:hAnsi="宋体" w:eastAsia="宋体" w:cs="宋体"/>
                <w:i w:val="0"/>
                <w:color w:val="000000"/>
                <w:kern w:val="0"/>
                <w:sz w:val="24"/>
                <w:szCs w:val="24"/>
                <w:u w:val="none"/>
                <w:lang w:val="en-US" w:eastAsia="zh-CN" w:bidi="ar"/>
              </w:rPr>
              <w:t>13.支持自定义开启素材/节目/任务审核功能，能支持5级审核，每类审核支持至少4种审核状态。</w:t>
            </w:r>
            <w:r>
              <w:rPr>
                <w:rFonts w:hint="eastAsia" w:ascii="宋体" w:hAnsi="宋体" w:eastAsia="宋体" w:cs="宋体"/>
                <w:i w:val="0"/>
                <w:color w:val="FF0000"/>
                <w:kern w:val="0"/>
                <w:sz w:val="24"/>
                <w:szCs w:val="24"/>
                <w:u w:val="none"/>
                <w:lang w:val="en-US" w:eastAsia="zh-CN" w:bidi="ar"/>
              </w:rPr>
              <w:t>（提供国家权威检测机构出具的检测报告复印件或功能截图佐证）</w:t>
            </w:r>
            <w:r>
              <w:rPr>
                <w:rFonts w:hint="eastAsia" w:ascii="宋体" w:hAnsi="宋体" w:eastAsia="宋体" w:cs="宋体"/>
                <w:i w:val="0"/>
                <w:color w:val="FF0000"/>
                <w:kern w:val="0"/>
                <w:sz w:val="24"/>
                <w:szCs w:val="24"/>
                <w:u w:val="none"/>
                <w:lang w:val="en-US" w:eastAsia="zh-CN" w:bidi="ar"/>
              </w:rPr>
              <w:br w:type="textWrapping"/>
            </w:r>
            <w:r>
              <w:rPr>
                <w:rFonts w:hint="eastAsia" w:ascii="宋体" w:hAnsi="宋体" w:eastAsia="宋体" w:cs="宋体"/>
                <w:i w:val="0"/>
                <w:color w:val="FF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14.支持可视化绘制审批流程、流程间的流转配置、消息配置和审批人员配置。</w:t>
            </w:r>
            <w:r>
              <w:rPr>
                <w:rFonts w:hint="eastAsia" w:ascii="宋体" w:hAnsi="宋体" w:eastAsia="宋体" w:cs="宋体"/>
                <w:i w:val="0"/>
                <w:color w:val="FF0000"/>
                <w:kern w:val="0"/>
                <w:sz w:val="24"/>
                <w:szCs w:val="24"/>
                <w:u w:val="none"/>
                <w:lang w:val="en-US" w:eastAsia="zh-CN" w:bidi="ar"/>
              </w:rPr>
              <w:t>（提供国家权威检测机构出具的检测报告复印件或功能截图佐证）</w:t>
            </w:r>
            <w:r>
              <w:rPr>
                <w:rFonts w:hint="eastAsia" w:ascii="宋体" w:hAnsi="宋体" w:eastAsia="宋体" w:cs="宋体"/>
                <w:i w:val="0"/>
                <w:color w:val="FF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15.设备状态统计数据查看：（1）支持查看设备状态统计数据，包括：离线时长、离线次数；（2）统计截止至前一日24:00的设备离线数据； （3）支持查看指定设备离线详情，包括：离线开始时间和离线结束时间； （4）支持根据设备类型(安卓终端、windows、LED)、所属组织、创建时间的开始时间至结束时间筛选记录；（5）支持导出符合条件的设备状态详情统计数据</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16.查看素材播放统计数据：（1）支持查看素材播放统计数据，包括：播放次数、播放时间、展示终端个数；（2）支持根据素材类型、所属部门、创建时间的开始时间至结束时间筛选记录；（3）支持统计播放数据的素材类型为：图片、视频、word、ppt、excel、txt、pdf、静态网页、动态网页；（4）支持查看指定素材播放终端统计数据，包括：该素材播放的终端名称、在该终端播放的次数及时长；（5）支持导出符合筛选条件的素材播放统计数据。</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17.查看终端播放统计数据：（1）支持查看指定安卓终端播放的素材播放详情，包括播放次数、播放类型；（2）支持根据素材类型、创建时间的开始时间至结束时间筛选记录</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18.双网域应用：支持互联网与内网双网域访问平台，进行节目管理、发布节目、终端监控的功能</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19.万路级接入：平台支持管理多个信息发布服务网关ipag，可实现接入万路级终端设备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20.断点续传：支持发布任务断电续传，下载节目过程中网络终端重新连接后，节目可自动从断开时的状态继续下载</w:t>
            </w:r>
            <w:r>
              <w:rPr>
                <w:rFonts w:hint="eastAsia" w:ascii="宋体" w:hAnsi="宋体" w:eastAsia="宋体" w:cs="宋体"/>
                <w:sz w:val="24"/>
                <w:szCs w:val="24"/>
                <w:lang w:val="en-US" w:eastAsia="zh-CN"/>
              </w:rPr>
              <w:t>。</w:t>
            </w:r>
          </w:p>
        </w:tc>
      </w:tr>
    </w:tbl>
    <w:p w14:paraId="59DF879B">
      <w:pPr>
        <w:pStyle w:val="4"/>
        <w:keepNext w:val="0"/>
        <w:keepLines w:val="0"/>
        <w:pageBreakBefore w:val="0"/>
        <w:widowControl w:val="0"/>
        <w:kinsoku/>
        <w:wordWrap/>
        <w:overflowPunct/>
        <w:topLinePunct w:val="0"/>
        <w:autoSpaceDE/>
        <w:autoSpaceDN/>
        <w:bidi w:val="0"/>
        <w:adjustRightInd/>
        <w:snapToGrid/>
        <w:spacing w:line="340" w:lineRule="exact"/>
        <w:ind w:left="0" w:leftChars="0" w:firstLine="480" w:firstLineChars="200"/>
        <w:textAlignment w:val="auto"/>
        <w:rPr>
          <w:rFonts w:hint="eastAsia" w:ascii="宋体" w:hAnsi="宋体" w:eastAsia="宋体" w:cs="宋体"/>
          <w:color w:val="auto"/>
          <w:sz w:val="24"/>
          <w:szCs w:val="24"/>
          <w:lang w:val="en-US" w:eastAsia="zh-CN"/>
        </w:rPr>
      </w:pP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1E2B2864">
      <w:pPr>
        <w:pStyle w:val="4"/>
        <w:keepNext w:val="0"/>
        <w:keepLines w:val="0"/>
        <w:pageBreakBefore w:val="0"/>
        <w:widowControl w:val="0"/>
        <w:kinsoku/>
        <w:wordWrap/>
        <w:topLinePunct w:val="0"/>
        <w:autoSpaceDE/>
        <w:autoSpaceDN/>
        <w:bidi w:val="0"/>
        <w:snapToGrid/>
        <w:spacing w:line="400" w:lineRule="exact"/>
        <w:ind w:left="0" w:leftChars="0" w:firstLine="638" w:firstLineChars="266"/>
        <w:textAlignment w:val="auto"/>
        <w:rPr>
          <w:rFonts w:hint="default" w:ascii="宋体" w:hAnsi="宋体" w:eastAsia="宋体" w:cs="Times New Roman"/>
          <w:color w:val="000000"/>
          <w:kern w:val="2"/>
          <w:sz w:val="24"/>
          <w:szCs w:val="24"/>
          <w:lang w:val="en-US" w:eastAsia="zh-CN" w:bidi="ar-SA"/>
        </w:rPr>
      </w:pPr>
      <w:r>
        <w:t>采购标的需满足产品三包服务，质保期</w:t>
      </w:r>
      <w:r>
        <w:rPr>
          <w:rFonts w:hint="eastAsia"/>
          <w:lang w:val="en-US" w:eastAsia="zh-CN"/>
        </w:rPr>
        <w:t>3</w:t>
      </w:r>
      <w:r>
        <w:t>年。质保期内产品年正常运行时间不低于347天。</w:t>
      </w:r>
      <w:r>
        <w:rPr>
          <w:rFonts w:cs="Times New Roman"/>
        </w:rPr>
        <w:t>在四川省或重庆市有</w:t>
      </w:r>
      <w:r>
        <w:t>售后服务机构（维修点），售后服务响应时间4小时，24小时到达现场维修。</w:t>
      </w:r>
      <w:r>
        <w:rPr>
          <w:rFonts w:hint="eastAsia"/>
          <w:lang w:eastAsia="zh-CN"/>
        </w:rPr>
        <w:t>验收合格后</w:t>
      </w:r>
      <w:r>
        <w:rPr>
          <w:rFonts w:hint="eastAsia"/>
          <w:lang w:val="en-US" w:eastAsia="zh-CN"/>
        </w:rPr>
        <w:t>1年</w:t>
      </w:r>
      <w:r>
        <w:t>内出现因质量问题经过2次维修不能正常使用的，做退、换货处理。维修、换货时间不计入质保期。成交供应商负责</w:t>
      </w:r>
      <w:r>
        <w:rPr>
          <w:rFonts w:hint="eastAsia"/>
          <w:lang w:eastAsia="zh-CN"/>
        </w:rPr>
        <w:t>进行</w:t>
      </w:r>
      <w:r>
        <w:t>操作培训，培训费用由供应商负责</w:t>
      </w:r>
      <w:r>
        <w:rPr>
          <w:rFonts w:hint="default" w:ascii="宋体" w:hAnsi="宋体" w:eastAsia="宋体" w:cs="Times New Roman"/>
          <w:color w:val="000000"/>
          <w:kern w:val="2"/>
          <w:sz w:val="24"/>
          <w:szCs w:val="24"/>
          <w:lang w:val="en-US" w:eastAsia="zh-CN" w:bidi="ar-SA"/>
        </w:rPr>
        <w:t>。</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4"/>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时间：合同签订后15个工作日内完成设备安装调试。</w:t>
      </w:r>
    </w:p>
    <w:p w14:paraId="394C4837">
      <w:pPr>
        <w:pStyle w:val="4"/>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4"/>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cs="宋体"/>
          <w:color w:val="auto"/>
          <w:sz w:val="24"/>
          <w:szCs w:val="24"/>
          <w:highlight w:val="none"/>
          <w:lang w:val="en-US" w:eastAsia="zh-CN"/>
        </w:rPr>
        <w:t>分期支付</w:t>
      </w:r>
      <w:r>
        <w:rPr>
          <w:rFonts w:hint="default" w:ascii="宋体" w:hAnsi="宋体" w:eastAsia="宋体" w:cs="宋体"/>
          <w:color w:val="auto"/>
          <w:sz w:val="24"/>
          <w:szCs w:val="24"/>
          <w:lang w:val="en-US" w:eastAsia="zh-CN"/>
        </w:rPr>
        <w:t>。</w:t>
      </w:r>
      <w:r>
        <w:rPr>
          <w:rFonts w:hint="eastAsia" w:ascii="宋体" w:hAnsi="宋体" w:eastAsia="宋体" w:cs="宋体"/>
          <w:color w:val="auto"/>
          <w:sz w:val="24"/>
          <w:lang w:val="en-US" w:eastAsia="zh-CN"/>
        </w:rPr>
        <w:t>验收完成且收到正式发票后，达到付款条件起30 日内，支付合同总金额的</w:t>
      </w:r>
      <w:r>
        <w:rPr>
          <w:rFonts w:hint="eastAsia" w:cs="宋体"/>
          <w:color w:val="auto"/>
          <w:sz w:val="24"/>
          <w:lang w:val="en-US" w:eastAsia="zh-CN"/>
        </w:rPr>
        <w:t>95</w:t>
      </w:r>
      <w:r>
        <w:rPr>
          <w:rFonts w:hint="eastAsia" w:ascii="宋体" w:hAnsi="宋体" w:eastAsia="宋体" w:cs="宋体"/>
          <w:color w:val="auto"/>
          <w:sz w:val="24"/>
          <w:lang w:val="en-US" w:eastAsia="zh-CN"/>
        </w:rPr>
        <w:t>%；</w:t>
      </w:r>
      <w:r>
        <w:rPr>
          <w:rFonts w:hint="eastAsia" w:cs="宋体"/>
          <w:color w:val="auto"/>
          <w:sz w:val="24"/>
          <w:lang w:val="en-US" w:eastAsia="zh-CN"/>
        </w:rPr>
        <w:t>正常</w:t>
      </w:r>
      <w:r>
        <w:rPr>
          <w:rFonts w:hint="eastAsia" w:ascii="宋体" w:hAnsi="宋体" w:eastAsia="宋体" w:cs="宋体"/>
          <w:color w:val="auto"/>
          <w:sz w:val="24"/>
          <w:lang w:val="en-US" w:eastAsia="zh-CN"/>
        </w:rPr>
        <w:t>使用1年后支付合同总金额的5%。</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pStyle w:val="6"/>
        <w:rPr>
          <w:rFonts w:hint="eastAsia" w:ascii="黑体" w:hAnsi="宋体" w:eastAsia="黑体"/>
          <w:b/>
          <w:bCs/>
          <w:sz w:val="32"/>
          <w:szCs w:val="32"/>
        </w:rPr>
      </w:pPr>
    </w:p>
    <w:p w14:paraId="45E475FB">
      <w:pPr>
        <w:pStyle w:val="7"/>
        <w:rPr>
          <w:rFonts w:hint="eastAsia"/>
        </w:rPr>
      </w:pPr>
    </w:p>
    <w:p w14:paraId="78205F60">
      <w:pPr>
        <w:pStyle w:val="7"/>
        <w:rPr>
          <w:rFonts w:hint="eastAsia" w:ascii="黑体" w:hAnsi="宋体" w:eastAsia="黑体"/>
          <w:b/>
          <w:bCs/>
          <w:sz w:val="32"/>
          <w:szCs w:val="32"/>
        </w:rPr>
      </w:pPr>
    </w:p>
    <w:p w14:paraId="448399E5">
      <w:pPr>
        <w:pStyle w:val="7"/>
        <w:rPr>
          <w:rFonts w:hint="eastAsia" w:ascii="黑体" w:hAnsi="宋体" w:eastAsia="黑体"/>
          <w:b/>
          <w:bCs/>
          <w:sz w:val="32"/>
          <w:szCs w:val="32"/>
        </w:rPr>
      </w:pPr>
    </w:p>
    <w:p w14:paraId="0406F2A5">
      <w:pPr>
        <w:pStyle w:val="7"/>
        <w:rPr>
          <w:rFonts w:hint="eastAsia" w:ascii="黑体" w:hAnsi="宋体" w:eastAsia="黑体"/>
          <w:b/>
          <w:bCs/>
          <w:sz w:val="32"/>
          <w:szCs w:val="32"/>
        </w:rPr>
      </w:pPr>
    </w:p>
    <w:p w14:paraId="0E6820FD">
      <w:pPr>
        <w:pStyle w:val="7"/>
        <w:rPr>
          <w:rFonts w:hint="eastAsia" w:ascii="黑体" w:hAnsi="宋体" w:eastAsia="黑体"/>
          <w:b/>
          <w:bCs/>
          <w:sz w:val="32"/>
          <w:szCs w:val="32"/>
        </w:rPr>
      </w:pPr>
    </w:p>
    <w:p w14:paraId="18A62DEB">
      <w:pPr>
        <w:pStyle w:val="7"/>
        <w:rPr>
          <w:rFonts w:hint="eastAsia"/>
        </w:rPr>
      </w:pPr>
    </w:p>
    <w:p w14:paraId="13E9479E">
      <w:pPr>
        <w:pStyle w:val="7"/>
        <w:rPr>
          <w:rFonts w:hint="eastAsia" w:ascii="黑体" w:hAnsi="宋体" w:eastAsia="黑体"/>
          <w:b/>
          <w:bCs/>
          <w:sz w:val="32"/>
          <w:szCs w:val="32"/>
        </w:rPr>
      </w:pPr>
    </w:p>
    <w:p w14:paraId="14BA67E6">
      <w:pPr>
        <w:pStyle w:val="7"/>
        <w:rPr>
          <w:rFonts w:hint="eastAsia" w:ascii="黑体" w:hAnsi="宋体" w:eastAsia="黑体"/>
          <w:b/>
          <w:bCs/>
          <w:sz w:val="32"/>
          <w:szCs w:val="32"/>
        </w:rPr>
      </w:pPr>
    </w:p>
    <w:p w14:paraId="151FC1A4">
      <w:pPr>
        <w:pStyle w:val="7"/>
        <w:rPr>
          <w:rFonts w:hint="eastAsia" w:ascii="黑体" w:hAnsi="宋体" w:eastAsia="黑体"/>
          <w:b/>
          <w:bCs/>
          <w:sz w:val="32"/>
          <w:szCs w:val="32"/>
        </w:rPr>
      </w:pPr>
    </w:p>
    <w:p w14:paraId="39FBBD70">
      <w:pPr>
        <w:pStyle w:val="7"/>
        <w:rPr>
          <w:rFonts w:hint="eastAsia" w:ascii="黑体" w:hAnsi="宋体" w:eastAsia="黑体"/>
          <w:b/>
          <w:bCs/>
          <w:sz w:val="32"/>
          <w:szCs w:val="32"/>
        </w:rPr>
      </w:pPr>
    </w:p>
    <w:p w14:paraId="340449D2">
      <w:pPr>
        <w:pStyle w:val="7"/>
        <w:rPr>
          <w:rFonts w:hint="eastAsia" w:ascii="黑体" w:hAnsi="宋体" w:eastAsia="黑体"/>
          <w:b/>
          <w:bCs/>
          <w:sz w:val="32"/>
          <w:szCs w:val="32"/>
        </w:rPr>
      </w:pPr>
    </w:p>
    <w:p w14:paraId="160577CE">
      <w:pPr>
        <w:pStyle w:val="7"/>
        <w:rPr>
          <w:rFonts w:hint="eastAsia" w:ascii="黑体" w:hAnsi="宋体" w:eastAsia="黑体"/>
          <w:b/>
          <w:bCs/>
          <w:sz w:val="32"/>
          <w:szCs w:val="32"/>
        </w:rPr>
      </w:pPr>
    </w:p>
    <w:p w14:paraId="5EA3B035">
      <w:pPr>
        <w:pStyle w:val="7"/>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7"/>
        <w:rPr>
          <w:rFonts w:hint="eastAsia"/>
          <w:b/>
          <w:sz w:val="32"/>
          <w:szCs w:val="32"/>
        </w:rPr>
      </w:pPr>
    </w:p>
    <w:p w14:paraId="3E2BAE9F">
      <w:pPr>
        <w:pStyle w:val="7"/>
        <w:rPr>
          <w:rFonts w:hint="eastAsia"/>
          <w:b/>
          <w:sz w:val="32"/>
          <w:szCs w:val="32"/>
        </w:rPr>
      </w:pPr>
    </w:p>
    <w:p w14:paraId="31CC1F9B">
      <w:pPr>
        <w:pStyle w:val="7"/>
        <w:rPr>
          <w:rFonts w:hint="eastAsia"/>
          <w:b/>
          <w:sz w:val="32"/>
          <w:szCs w:val="32"/>
        </w:rPr>
      </w:pPr>
    </w:p>
    <w:p w14:paraId="66F4DD6C">
      <w:pPr>
        <w:pStyle w:val="7"/>
        <w:rPr>
          <w:rFonts w:hint="eastAsia"/>
          <w:b/>
          <w:sz w:val="32"/>
          <w:szCs w:val="32"/>
        </w:rPr>
      </w:pPr>
    </w:p>
    <w:p w14:paraId="1F7476C0">
      <w:pPr>
        <w:pStyle w:val="7"/>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7"/>
        <w:rPr>
          <w:rFonts w:hint="eastAsia"/>
          <w:b/>
          <w:sz w:val="32"/>
          <w:szCs w:val="32"/>
        </w:rPr>
      </w:pPr>
    </w:p>
    <w:p w14:paraId="4573D810">
      <w:pPr>
        <w:pStyle w:val="7"/>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7"/>
        <w:rPr>
          <w:rFonts w:hint="eastAsia"/>
          <w:lang w:eastAsia="zh-CN"/>
        </w:rPr>
      </w:pPr>
    </w:p>
    <w:p w14:paraId="03EF6F1C">
      <w:pPr>
        <w:pStyle w:val="7"/>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1"/>
        <w:pBdr>
          <w:bottom w:val="none" w:color="auto" w:sz="0" w:space="0"/>
        </w:pBdr>
        <w:tabs>
          <w:tab w:val="clear" w:pos="4153"/>
          <w:tab w:val="clear" w:pos="8306"/>
        </w:tabs>
        <w:snapToGrid/>
        <w:jc w:val="both"/>
        <w:rPr>
          <w:rFonts w:hint="eastAsia" w:ascii="宋体" w:hAnsi="宋体"/>
          <w:sz w:val="24"/>
          <w:szCs w:val="24"/>
        </w:rPr>
      </w:pPr>
    </w:p>
    <w:p w14:paraId="64CDB550">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9"/>
        <w:tabs>
          <w:tab w:val="left" w:pos="0"/>
        </w:tabs>
        <w:spacing w:after="0" w:line="400" w:lineRule="exact"/>
        <w:rPr>
          <w:rFonts w:hint="eastAsia"/>
        </w:rPr>
      </w:pPr>
    </w:p>
    <w:p w14:paraId="09233E8B">
      <w:pPr>
        <w:pStyle w:val="9"/>
        <w:tabs>
          <w:tab w:val="left" w:pos="0"/>
        </w:tabs>
        <w:rPr>
          <w:rFonts w:hint="eastAsia"/>
        </w:rPr>
      </w:pPr>
    </w:p>
    <w:p w14:paraId="5BF951EE">
      <w:pPr>
        <w:pStyle w:val="9"/>
        <w:tabs>
          <w:tab w:val="left" w:pos="0"/>
        </w:tabs>
        <w:rPr>
          <w:rFonts w:hint="eastAsia"/>
        </w:rPr>
      </w:pPr>
    </w:p>
    <w:p w14:paraId="1EACDFB2">
      <w:pPr>
        <w:pStyle w:val="9"/>
        <w:tabs>
          <w:tab w:val="left" w:pos="0"/>
        </w:tabs>
        <w:rPr>
          <w:rFonts w:hint="eastAsia"/>
        </w:rPr>
      </w:pPr>
    </w:p>
    <w:p w14:paraId="49BA259B">
      <w:pPr>
        <w:pStyle w:val="9"/>
        <w:tabs>
          <w:tab w:val="left" w:pos="0"/>
        </w:tabs>
        <w:rPr>
          <w:rFonts w:hint="eastAsia"/>
        </w:rPr>
      </w:pPr>
    </w:p>
    <w:p w14:paraId="26D6F00E">
      <w:pPr>
        <w:pStyle w:val="9"/>
        <w:tabs>
          <w:tab w:val="left" w:pos="0"/>
        </w:tabs>
        <w:rPr>
          <w:rFonts w:hint="eastAsia"/>
        </w:rPr>
      </w:pPr>
    </w:p>
    <w:p w14:paraId="587DFC25">
      <w:pPr>
        <w:pStyle w:val="9"/>
        <w:tabs>
          <w:tab w:val="left" w:pos="0"/>
        </w:tabs>
        <w:ind w:left="0" w:leftChars="0" w:firstLine="0" w:firstLineChars="0"/>
        <w:jc w:val="both"/>
        <w:rPr>
          <w:rFonts w:hint="eastAsia"/>
          <w:b/>
          <w:sz w:val="32"/>
          <w:szCs w:val="32"/>
        </w:rPr>
      </w:pPr>
    </w:p>
    <w:p w14:paraId="0FD1EA34">
      <w:pPr>
        <w:pStyle w:val="9"/>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9"/>
        <w:tabs>
          <w:tab w:val="left" w:pos="0"/>
        </w:tabs>
        <w:jc w:val="center"/>
        <w:rPr>
          <w:rFonts w:hint="eastAsia"/>
        </w:rPr>
      </w:pPr>
    </w:p>
    <w:p w14:paraId="0CD2C491">
      <w:pPr>
        <w:pStyle w:val="9"/>
        <w:tabs>
          <w:tab w:val="left" w:pos="0"/>
        </w:tabs>
        <w:jc w:val="center"/>
        <w:rPr>
          <w:rFonts w:hint="eastAsia"/>
        </w:rPr>
      </w:pPr>
    </w:p>
    <w:p w14:paraId="51992F2D">
      <w:pPr>
        <w:pStyle w:val="9"/>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7"/>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7"/>
        <w:rPr>
          <w:sz w:val="24"/>
          <w:highlight w:val="white"/>
        </w:rPr>
      </w:pPr>
    </w:p>
    <w:p w14:paraId="4C0E06A2">
      <w:pPr>
        <w:pStyle w:val="7"/>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7"/>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7"/>
        <w:rPr>
          <w:rFonts w:hint="eastAsia"/>
          <w:sz w:val="24"/>
          <w:highlight w:val="white"/>
        </w:rPr>
      </w:pPr>
    </w:p>
    <w:p w14:paraId="1C83667E">
      <w:pPr>
        <w:pStyle w:val="7"/>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7"/>
        <w:rPr>
          <w:rFonts w:hint="eastAsia"/>
          <w:sz w:val="24"/>
          <w:highlight w:val="white"/>
        </w:rPr>
      </w:pPr>
    </w:p>
    <w:p w14:paraId="632478B8">
      <w:pPr>
        <w:pStyle w:val="7"/>
        <w:rPr>
          <w:rFonts w:hint="eastAsia"/>
          <w:sz w:val="24"/>
          <w:highlight w:val="white"/>
        </w:rPr>
      </w:pPr>
    </w:p>
    <w:p w14:paraId="0483F5B2">
      <w:pPr>
        <w:pStyle w:val="7"/>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7"/>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7"/>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7"/>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7"/>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49810624"/>
      <w:bookmarkStart w:id="33" w:name="_Toc350864527"/>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0"/>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0"/>
      <w:framePr w:wrap="around" w:vAnchor="text" w:hAnchor="margin" w:xAlign="outside" w:y="1"/>
      <w:rPr>
        <w:rStyle w:val="19"/>
        <w:rFonts w:hint="eastAsia" w:ascii="Times New Roman" w:hAnsi="Times New Roman" w:eastAsia="宋体" w:cs="Times New Roman"/>
      </w:rPr>
    </w:pPr>
  </w:p>
  <w:p w14:paraId="2FA3308A">
    <w:pPr>
      <w:pStyle w:val="10"/>
      <w:framePr w:wrap="around" w:vAnchor="text" w:hAnchor="margin" w:xAlign="outside" w:y="1"/>
      <w:rPr>
        <w:rStyle w:val="19"/>
        <w:rFonts w:hint="eastAsia" w:ascii="Times New Roman" w:hAnsi="Times New Roman" w:eastAsia="宋体" w:cs="Times New Roman"/>
      </w:rPr>
    </w:pPr>
  </w:p>
  <w:p w14:paraId="74A77EF2">
    <w:pPr>
      <w:pStyle w:val="10"/>
      <w:framePr w:wrap="around" w:vAnchor="text" w:hAnchor="margin" w:xAlign="outside" w:y="1"/>
      <w:rPr>
        <w:rStyle w:val="19"/>
        <w:rFonts w:hint="eastAsia" w:ascii="Times New Roman" w:hAnsi="Times New Roman" w:eastAsia="宋体" w:cs="Times New Roman"/>
      </w:rPr>
    </w:pPr>
  </w:p>
  <w:p w14:paraId="06428C61">
    <w:pPr>
      <w:pStyle w:val="10"/>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0"/>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0"/>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10"/>
      <w:framePr w:wrap="around" w:vAnchor="text" w:hAnchor="margin" w:xAlign="outside" w:y="1"/>
      <w:rPr>
        <w:rStyle w:val="19"/>
        <w:rFonts w:hint="eastAsia"/>
      </w:rPr>
    </w:pPr>
  </w:p>
  <w:p w14:paraId="4A84BA1B">
    <w:pPr>
      <w:pStyle w:val="10"/>
      <w:framePr w:wrap="around" w:vAnchor="text" w:hAnchor="margin" w:xAlign="outside" w:y="1"/>
      <w:rPr>
        <w:rStyle w:val="19"/>
        <w:rFonts w:hint="eastAsia"/>
      </w:rPr>
    </w:pPr>
  </w:p>
  <w:p w14:paraId="4FA7D3F1">
    <w:pPr>
      <w:pStyle w:val="10"/>
      <w:framePr w:wrap="around" w:vAnchor="text" w:hAnchor="margin" w:xAlign="outside" w:y="1"/>
      <w:rPr>
        <w:rStyle w:val="19"/>
        <w:rFonts w:hint="eastAsia"/>
      </w:rPr>
    </w:pPr>
  </w:p>
  <w:p w14:paraId="6C2E5B50">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1"/>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82774BE"/>
    <w:rsid w:val="09124A1D"/>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6FE5738"/>
    <w:rsid w:val="17076BA6"/>
    <w:rsid w:val="17214185"/>
    <w:rsid w:val="17AC53CA"/>
    <w:rsid w:val="17D16426"/>
    <w:rsid w:val="18D362B4"/>
    <w:rsid w:val="19575943"/>
    <w:rsid w:val="195A66FF"/>
    <w:rsid w:val="196E39FC"/>
    <w:rsid w:val="19970C16"/>
    <w:rsid w:val="1A412630"/>
    <w:rsid w:val="1A705BA0"/>
    <w:rsid w:val="1C790BEF"/>
    <w:rsid w:val="1CC21F8E"/>
    <w:rsid w:val="1DDF0350"/>
    <w:rsid w:val="1E484501"/>
    <w:rsid w:val="1F7A022C"/>
    <w:rsid w:val="1FBF6B0B"/>
    <w:rsid w:val="1FE43AF7"/>
    <w:rsid w:val="204A081C"/>
    <w:rsid w:val="205058A7"/>
    <w:rsid w:val="20714280"/>
    <w:rsid w:val="207460AE"/>
    <w:rsid w:val="21427125"/>
    <w:rsid w:val="21CC3154"/>
    <w:rsid w:val="22947F00"/>
    <w:rsid w:val="23902475"/>
    <w:rsid w:val="239E61C1"/>
    <w:rsid w:val="248F084E"/>
    <w:rsid w:val="259801CB"/>
    <w:rsid w:val="268F0FD1"/>
    <w:rsid w:val="27644041"/>
    <w:rsid w:val="28FC4860"/>
    <w:rsid w:val="28FC7A35"/>
    <w:rsid w:val="2A1047F1"/>
    <w:rsid w:val="2A745C14"/>
    <w:rsid w:val="2AAA30F8"/>
    <w:rsid w:val="2AE95BE6"/>
    <w:rsid w:val="2AE9675F"/>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1B0F8A"/>
    <w:rsid w:val="38CF6C67"/>
    <w:rsid w:val="399E4444"/>
    <w:rsid w:val="39F6064F"/>
    <w:rsid w:val="3A027D9F"/>
    <w:rsid w:val="3AAA3917"/>
    <w:rsid w:val="3ADD3456"/>
    <w:rsid w:val="3B4B5EE5"/>
    <w:rsid w:val="3B971312"/>
    <w:rsid w:val="3BA20ED0"/>
    <w:rsid w:val="3C64337B"/>
    <w:rsid w:val="3D255EAC"/>
    <w:rsid w:val="3DA22932"/>
    <w:rsid w:val="3E1E4076"/>
    <w:rsid w:val="3F076215"/>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E905BD"/>
    <w:rsid w:val="4AF905C9"/>
    <w:rsid w:val="4B4357DF"/>
    <w:rsid w:val="4C192B2B"/>
    <w:rsid w:val="4C5A31D0"/>
    <w:rsid w:val="4C667968"/>
    <w:rsid w:val="4D094EC3"/>
    <w:rsid w:val="4D3F2ADF"/>
    <w:rsid w:val="4DBB6A04"/>
    <w:rsid w:val="4E6E2C07"/>
    <w:rsid w:val="4EBF4055"/>
    <w:rsid w:val="4EC400D5"/>
    <w:rsid w:val="4EDD2E4D"/>
    <w:rsid w:val="4F45676F"/>
    <w:rsid w:val="4F9B62CA"/>
    <w:rsid w:val="501D6280"/>
    <w:rsid w:val="50E32F3E"/>
    <w:rsid w:val="52D75F1F"/>
    <w:rsid w:val="540A6EF0"/>
    <w:rsid w:val="54E61D80"/>
    <w:rsid w:val="552B0390"/>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C27203"/>
    <w:rsid w:val="5C2C4CF4"/>
    <w:rsid w:val="5C4E7ACC"/>
    <w:rsid w:val="5C57765F"/>
    <w:rsid w:val="5CDC79F3"/>
    <w:rsid w:val="5D7E2CB1"/>
    <w:rsid w:val="5F3F5BA7"/>
    <w:rsid w:val="5F9C5684"/>
    <w:rsid w:val="5FAB2C9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462AF9"/>
    <w:rsid w:val="6FB86553"/>
    <w:rsid w:val="70260E8E"/>
    <w:rsid w:val="7128436B"/>
    <w:rsid w:val="72124A65"/>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7"/>
    <w:autoRedefine/>
    <w:qFormat/>
    <w:uiPriority w:val="0"/>
    <w:pPr>
      <w:spacing w:after="120"/>
    </w:pPr>
    <w:rPr>
      <w:szCs w:val="22"/>
    </w:rPr>
  </w:style>
  <w:style w:type="paragraph" w:styleId="7">
    <w:name w:val="Body Text First Indent"/>
    <w:basedOn w:val="6"/>
    <w:autoRedefine/>
    <w:qFormat/>
    <w:uiPriority w:val="0"/>
    <w:pPr>
      <w:ind w:firstLine="420" w:firstLineChars="100"/>
    </w:pPr>
  </w:style>
  <w:style w:type="paragraph" w:styleId="8">
    <w:name w:val="Body Text Indent"/>
    <w:basedOn w:val="1"/>
    <w:autoRedefine/>
    <w:qFormat/>
    <w:uiPriority w:val="0"/>
    <w:pPr>
      <w:ind w:firstLine="630"/>
    </w:pPr>
    <w:rPr>
      <w:sz w:val="32"/>
      <w:szCs w:val="20"/>
    </w:rPr>
  </w:style>
  <w:style w:type="paragraph" w:styleId="9">
    <w:name w:val="Body Text Indent 2"/>
    <w:basedOn w:val="1"/>
    <w:autoRedefine/>
    <w:qFormat/>
    <w:uiPriority w:val="0"/>
    <w:pPr>
      <w:spacing w:after="120" w:line="480" w:lineRule="auto"/>
      <w:ind w:left="420" w:leftChars="200"/>
    </w:pPr>
  </w:style>
  <w:style w:type="paragraph" w:styleId="10">
    <w:name w:val="footer"/>
    <w:basedOn w:val="1"/>
    <w:autoRedefine/>
    <w:qFormat/>
    <w:uiPriority w:val="99"/>
    <w:pPr>
      <w:tabs>
        <w:tab w:val="center" w:pos="4153"/>
        <w:tab w:val="right" w:pos="8306"/>
      </w:tabs>
      <w:snapToGrid w:val="0"/>
      <w:jc w:val="left"/>
    </w:pPr>
    <w:rPr>
      <w:sz w:val="18"/>
      <w:szCs w:val="20"/>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2">
    <w:name w:val="toc 1"/>
    <w:basedOn w:val="1"/>
    <w:next w:val="1"/>
    <w:autoRedefine/>
    <w:qFormat/>
    <w:uiPriority w:val="0"/>
  </w:style>
  <w:style w:type="paragraph" w:styleId="13">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4">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3638</Words>
  <Characters>3848</Characters>
  <Lines>0</Lines>
  <Paragraphs>0</Paragraphs>
  <TotalTime>1</TotalTime>
  <ScaleCrop>false</ScaleCrop>
  <LinksUpToDate>false</LinksUpToDate>
  <CharactersWithSpaces>3890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美好明天</cp:lastModifiedBy>
  <cp:lastPrinted>2024-09-03T01:38:00Z</cp:lastPrinted>
  <dcterms:modified xsi:type="dcterms:W3CDTF">2025-09-27T03:18:29Z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98EBC1986D1242EDB56CDA21F49C1E75_13</vt:lpwstr>
  </property>
  <property fmtid="{D5CDD505-2E9C-101B-9397-08002B2CF9AE}" pid="4" name="KSOTemplateDocerSaveRecord">
    <vt:lpwstr>eyJoZGlkIjoiYWRhNDZmMjJlZTg3ODUxNTc2ZDgzOWQwOWZiN2FhNmEiLCJ1c2VySWQiOiI1NzU5NTE5MDgifQ==</vt:lpwstr>
  </property>
</Properties>
</file>