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结肠水疗仪（二次）</w:t>
      </w:r>
    </w:p>
    <w:p w14:paraId="14DDC134">
      <w:pPr>
        <w:pStyle w:val="29"/>
        <w:jc w:val="center"/>
        <w:outlineLvl w:val="2"/>
      </w:pPr>
      <w:r>
        <w:rPr>
          <w:b/>
          <w:sz w:val="28"/>
        </w:rPr>
        <w:t>采购项目编号：</w:t>
      </w:r>
      <w:r>
        <w:rPr>
          <w:rFonts w:hint="eastAsia" w:ascii="宋体"/>
          <w:b/>
          <w:sz w:val="30"/>
          <w:szCs w:val="30"/>
          <w:lang w:eastAsia="zh-CN"/>
        </w:rPr>
        <w:t>LYC-2025-092</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9</w:t>
      </w:r>
      <w:r>
        <w:rPr>
          <w:b/>
          <w:sz w:val="28"/>
        </w:rPr>
        <w:t>月</w:t>
      </w:r>
      <w:r>
        <w:rPr>
          <w:rFonts w:hint="eastAsia"/>
          <w:b/>
          <w:sz w:val="28"/>
          <w:lang w:val="en-US" w:eastAsia="zh-CN"/>
        </w:rPr>
        <w:t>17</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LYC-2025-092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结肠水疗仪（二次）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16</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16</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9</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24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w:t>
      </w:r>
      <w:bookmarkStart w:id="34" w:name="_GoBack"/>
      <w:bookmarkEnd w:id="34"/>
      <w:r>
        <w:rPr>
          <w:rFonts w:hint="eastAsia" w:ascii="宋体" w:hAnsi="宋体" w:cs="宋体"/>
          <w:b w:val="0"/>
          <w:bCs/>
          <w:color w:val="auto"/>
          <w:sz w:val="24"/>
          <w:u w:val="single"/>
          <w:lang w:val="en-US" w:eastAsia="zh-CN"/>
        </w:rPr>
        <w:t xml:space="preserve">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、18728680518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1600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7067"/>
      <w:bookmarkStart w:id="7" w:name="_Toc13038"/>
      <w:bookmarkStart w:id="8" w:name="_Toc24295"/>
      <w:bookmarkStart w:id="9" w:name="_Toc31240"/>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，属于实质性参加政府采购活动的供应商。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本项目政府采购活动中需要依法回避的采购人员是指采购人内部负责采购项目的具体经办工作人员和直接</w:t>
      </w:r>
      <w:r>
        <w:rPr>
          <w:rFonts w:hint="eastAsia" w:hAnsi="宋体"/>
          <w:color w:val="auto"/>
          <w:sz w:val="24"/>
        </w:rPr>
        <w:t>分管采购项目的负责人。本项目政府采购活动中需要依法回避的相关人员是指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338364"/>
      <w:bookmarkStart w:id="12" w:name="_Toc430773927"/>
      <w:bookmarkStart w:id="13" w:name="_Toc101174151"/>
      <w:bookmarkStart w:id="14" w:name="_Toc101250646"/>
      <w:bookmarkStart w:id="15" w:name="_Toc209847069"/>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：提供医疗器械生产或经营企业许可证明 (三类医疗器械提供《医疗器械经营许可证》,二类医疗器械提供《第二类医疗器械经营备案凭证》)复印件。经营或生产范围与投标产品类别一致。</w:t>
      </w:r>
    </w:p>
    <w:p w14:paraId="41FC2A9C">
      <w:pPr>
        <w:pStyle w:val="6"/>
        <w:spacing w:line="500" w:lineRule="exact"/>
        <w:ind w:firstLine="480" w:firstLineChars="200"/>
        <w:rPr>
          <w:rFonts w:hint="eastAsia" w:ascii="宋体" w:hAnsi="宋体" w:cs="宋体"/>
          <w:sz w:val="24"/>
          <w:szCs w:val="24"/>
        </w:rPr>
      </w:pPr>
    </w:p>
    <w:p w14:paraId="3F3D25DD">
      <w:pPr>
        <w:pStyle w:val="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183682368"/>
      <w:bookmarkStart w:id="18" w:name="_Toc217446056"/>
      <w:bookmarkStart w:id="19" w:name="_Toc183582231"/>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217446057"/>
      <w:bookmarkStart w:id="24" w:name="_Toc183582232"/>
      <w:bookmarkStart w:id="25" w:name="_Toc183682369"/>
      <w:r>
        <w:rPr>
          <w:rFonts w:hint="eastAsia" w:ascii="黑体" w:hAnsi="宋体" w:eastAsia="黑体"/>
          <w:b/>
          <w:sz w:val="32"/>
          <w:szCs w:val="32"/>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结肠水疗仪</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475"/>
        <w:gridCol w:w="1164"/>
        <w:gridCol w:w="1440"/>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475"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64"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440"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475"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结肠水疗仪</w:t>
            </w:r>
          </w:p>
        </w:tc>
        <w:tc>
          <w:tcPr>
            <w:tcW w:w="1164"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1440"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1</w:t>
            </w:r>
          </w:p>
        </w:tc>
        <w:tc>
          <w:tcPr>
            <w:tcW w:w="1082"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FF0000"/>
          <w:kern w:val="2"/>
          <w:sz w:val="24"/>
          <w:szCs w:val="24"/>
          <w:lang w:val="en-US" w:eastAsia="zh-CN" w:bidi="ar-SA"/>
        </w:rPr>
        <w:t>（全部为实质性要求，不允许负偏离）</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8374"/>
      </w:tblGrid>
      <w:tr w14:paraId="633E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7" w:type="dxa"/>
            <w:noWrap w:val="0"/>
            <w:vAlign w:val="center"/>
          </w:tcPr>
          <w:p w14:paraId="37A9875D">
            <w:pPr>
              <w:spacing w:line="400" w:lineRule="exact"/>
              <w:jc w:val="center"/>
              <w:rPr>
                <w:rFonts w:hint="eastAsia" w:ascii="宋体"/>
                <w:b/>
                <w:sz w:val="18"/>
                <w:szCs w:val="18"/>
              </w:rPr>
            </w:pPr>
            <w:r>
              <w:rPr>
                <w:rFonts w:hint="eastAsia" w:ascii="宋体"/>
                <w:b/>
                <w:sz w:val="18"/>
                <w:szCs w:val="18"/>
              </w:rPr>
              <w:t>一</w:t>
            </w:r>
          </w:p>
        </w:tc>
        <w:tc>
          <w:tcPr>
            <w:tcW w:w="8374" w:type="dxa"/>
            <w:noWrap w:val="0"/>
            <w:vAlign w:val="top"/>
          </w:tcPr>
          <w:p w14:paraId="3917C50E">
            <w:pPr>
              <w:spacing w:line="400" w:lineRule="exact"/>
              <w:rPr>
                <w:rFonts w:hint="eastAsia" w:ascii="宋体"/>
                <w:b/>
                <w:sz w:val="18"/>
                <w:szCs w:val="18"/>
              </w:rPr>
            </w:pPr>
            <w:r>
              <w:rPr>
                <w:rFonts w:hint="eastAsia" w:ascii="宋体"/>
                <w:b/>
                <w:sz w:val="18"/>
                <w:szCs w:val="18"/>
              </w:rPr>
              <w:t>适应范围</w:t>
            </w:r>
          </w:p>
        </w:tc>
      </w:tr>
      <w:tr w14:paraId="7A7E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7" w:type="dxa"/>
            <w:noWrap w:val="0"/>
            <w:vAlign w:val="center"/>
          </w:tcPr>
          <w:p w14:paraId="446CC3FF">
            <w:pPr>
              <w:spacing w:line="360" w:lineRule="auto"/>
              <w:jc w:val="center"/>
              <w:rPr>
                <w:rFonts w:hint="eastAsia" w:ascii="宋体"/>
                <w:sz w:val="18"/>
                <w:szCs w:val="18"/>
              </w:rPr>
            </w:pPr>
            <w:r>
              <w:rPr>
                <w:rFonts w:hint="eastAsia" w:ascii="宋体"/>
                <w:sz w:val="18"/>
                <w:szCs w:val="18"/>
              </w:rPr>
              <w:t>1</w:t>
            </w:r>
          </w:p>
        </w:tc>
        <w:tc>
          <w:tcPr>
            <w:tcW w:w="8374" w:type="dxa"/>
            <w:noWrap w:val="0"/>
            <w:vAlign w:val="top"/>
          </w:tcPr>
          <w:p w14:paraId="134BA181">
            <w:pPr>
              <w:spacing w:line="360" w:lineRule="auto"/>
              <w:rPr>
                <w:rFonts w:hint="eastAsia" w:ascii="宋体"/>
                <w:b/>
                <w:sz w:val="18"/>
                <w:szCs w:val="18"/>
              </w:rPr>
            </w:pPr>
            <w:r>
              <w:rPr>
                <w:rFonts w:hint="eastAsia"/>
                <w:sz w:val="18"/>
                <w:szCs w:val="18"/>
              </w:rPr>
              <w:t>适用于习惯性便秘、慢性结肠炎的治疗以及手术、肠镜检查的准备处理。</w:t>
            </w:r>
          </w:p>
        </w:tc>
      </w:tr>
      <w:tr w14:paraId="771A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C986FD7">
            <w:pPr>
              <w:spacing w:line="360" w:lineRule="auto"/>
              <w:jc w:val="center"/>
              <w:rPr>
                <w:rFonts w:hint="eastAsia" w:ascii="宋体"/>
                <w:bCs/>
                <w:sz w:val="18"/>
                <w:szCs w:val="18"/>
              </w:rPr>
            </w:pPr>
            <w:r>
              <w:rPr>
                <w:rFonts w:hint="eastAsia" w:ascii="宋体"/>
                <w:bCs/>
                <w:sz w:val="18"/>
                <w:szCs w:val="18"/>
              </w:rPr>
              <w:t>2</w:t>
            </w:r>
          </w:p>
        </w:tc>
        <w:tc>
          <w:tcPr>
            <w:tcW w:w="8374" w:type="dxa"/>
            <w:noWrap w:val="0"/>
            <w:vAlign w:val="top"/>
          </w:tcPr>
          <w:p w14:paraId="513C4141">
            <w:pPr>
              <w:rPr>
                <w:rFonts w:hint="eastAsia" w:ascii="宋体"/>
                <w:b/>
                <w:sz w:val="18"/>
                <w:szCs w:val="18"/>
              </w:rPr>
            </w:pPr>
            <w:r>
              <w:rPr>
                <w:rFonts w:hint="eastAsia" w:ascii="宋体"/>
                <w:bCs/>
                <w:sz w:val="18"/>
                <w:szCs w:val="18"/>
              </w:rPr>
              <w:t>作用机理：通过恒温、恒压冷热水处理后，将过滤后的水自动注入肠道进行清肠及实现保留灌肠，利用肠道粘膜的生物半透膜性，实现肠道透皮吸收。</w:t>
            </w:r>
          </w:p>
        </w:tc>
      </w:tr>
      <w:tr w14:paraId="1796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787724B">
            <w:pPr>
              <w:spacing w:line="360" w:lineRule="auto"/>
              <w:jc w:val="center"/>
              <w:rPr>
                <w:rFonts w:hint="eastAsia"/>
                <w:b/>
                <w:bCs/>
                <w:sz w:val="18"/>
                <w:szCs w:val="18"/>
              </w:rPr>
            </w:pPr>
            <w:r>
              <w:rPr>
                <w:rFonts w:hint="eastAsia"/>
                <w:b/>
                <w:bCs/>
                <w:sz w:val="18"/>
                <w:szCs w:val="18"/>
              </w:rPr>
              <w:t>二</w:t>
            </w:r>
          </w:p>
        </w:tc>
        <w:tc>
          <w:tcPr>
            <w:tcW w:w="8374" w:type="dxa"/>
            <w:noWrap w:val="0"/>
            <w:vAlign w:val="center"/>
          </w:tcPr>
          <w:p w14:paraId="6E1AC437">
            <w:pPr>
              <w:spacing w:line="360" w:lineRule="auto"/>
              <w:rPr>
                <w:rFonts w:hint="eastAsia" w:ascii="宋体" w:hAnsi="宋体"/>
                <w:b/>
                <w:bCs/>
                <w:sz w:val="18"/>
                <w:szCs w:val="18"/>
              </w:rPr>
            </w:pPr>
            <w:r>
              <w:rPr>
                <w:rFonts w:hint="eastAsia" w:ascii="宋体" w:hAnsi="宋体"/>
                <w:b/>
                <w:bCs/>
                <w:sz w:val="18"/>
                <w:szCs w:val="18"/>
              </w:rPr>
              <w:t>功能要求</w:t>
            </w:r>
          </w:p>
        </w:tc>
      </w:tr>
      <w:tr w14:paraId="175E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08FD7BD7">
            <w:pPr>
              <w:spacing w:line="360" w:lineRule="auto"/>
              <w:jc w:val="center"/>
              <w:rPr>
                <w:rFonts w:hint="eastAsia"/>
                <w:sz w:val="18"/>
                <w:szCs w:val="18"/>
              </w:rPr>
            </w:pPr>
            <w:r>
              <w:rPr>
                <w:rFonts w:hint="eastAsia"/>
                <w:sz w:val="18"/>
                <w:szCs w:val="18"/>
              </w:rPr>
              <w:t>1</w:t>
            </w:r>
          </w:p>
        </w:tc>
        <w:tc>
          <w:tcPr>
            <w:tcW w:w="8374" w:type="dxa"/>
            <w:noWrap w:val="0"/>
            <w:vAlign w:val="center"/>
          </w:tcPr>
          <w:p w14:paraId="3F12D5A5">
            <w:pPr>
              <w:spacing w:line="360" w:lineRule="auto"/>
              <w:rPr>
                <w:rFonts w:hint="eastAsia"/>
                <w:sz w:val="18"/>
                <w:szCs w:val="18"/>
              </w:rPr>
            </w:pPr>
            <w:r>
              <w:rPr>
                <w:rFonts w:hint="eastAsia"/>
                <w:sz w:val="18"/>
                <w:szCs w:val="18"/>
              </w:rPr>
              <w:t>高精度冷暖进水过滤功能：采用反渗透净化装置</w:t>
            </w:r>
          </w:p>
        </w:tc>
      </w:tr>
      <w:tr w14:paraId="1DA0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0C6D5D4A">
            <w:pPr>
              <w:spacing w:line="360" w:lineRule="auto"/>
              <w:jc w:val="center"/>
              <w:rPr>
                <w:rFonts w:hint="eastAsia"/>
                <w:sz w:val="18"/>
                <w:szCs w:val="18"/>
              </w:rPr>
            </w:pPr>
            <w:r>
              <w:rPr>
                <w:rFonts w:hint="eastAsia"/>
                <w:sz w:val="18"/>
                <w:szCs w:val="18"/>
              </w:rPr>
              <w:t>2</w:t>
            </w:r>
          </w:p>
        </w:tc>
        <w:tc>
          <w:tcPr>
            <w:tcW w:w="8374" w:type="dxa"/>
            <w:noWrap w:val="0"/>
            <w:vAlign w:val="center"/>
          </w:tcPr>
          <w:p w14:paraId="1D8D4E07">
            <w:pPr>
              <w:spacing w:line="360" w:lineRule="auto"/>
              <w:rPr>
                <w:rFonts w:hint="eastAsia"/>
                <w:sz w:val="18"/>
                <w:szCs w:val="18"/>
              </w:rPr>
            </w:pPr>
            <w:r>
              <w:rPr>
                <w:rFonts w:hint="eastAsia" w:ascii="宋体"/>
                <w:sz w:val="18"/>
                <w:szCs w:val="18"/>
              </w:rPr>
              <w:t>药液加注功能：通过药液加注口进行药液加注，</w:t>
            </w:r>
            <w:r>
              <w:rPr>
                <w:rFonts w:hint="eastAsia"/>
                <w:sz w:val="18"/>
                <w:szCs w:val="18"/>
              </w:rPr>
              <w:t>利用肠道粘膜的生物半透膜性、实现透皮吸收。</w:t>
            </w:r>
          </w:p>
        </w:tc>
      </w:tr>
      <w:tr w14:paraId="4C49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EC597F9">
            <w:pPr>
              <w:spacing w:line="360" w:lineRule="auto"/>
              <w:jc w:val="center"/>
              <w:rPr>
                <w:rFonts w:hint="eastAsia"/>
                <w:sz w:val="18"/>
                <w:szCs w:val="18"/>
              </w:rPr>
            </w:pPr>
            <w:r>
              <w:rPr>
                <w:rFonts w:hint="eastAsia"/>
                <w:sz w:val="18"/>
                <w:szCs w:val="18"/>
              </w:rPr>
              <w:t>3</w:t>
            </w:r>
          </w:p>
        </w:tc>
        <w:tc>
          <w:tcPr>
            <w:tcW w:w="8374" w:type="dxa"/>
            <w:noWrap w:val="0"/>
            <w:vAlign w:val="center"/>
          </w:tcPr>
          <w:p w14:paraId="3247056E">
            <w:pPr>
              <w:spacing w:line="360" w:lineRule="auto"/>
              <w:rPr>
                <w:rFonts w:hint="eastAsia"/>
                <w:sz w:val="18"/>
                <w:szCs w:val="18"/>
              </w:rPr>
            </w:pPr>
            <w:r>
              <w:rPr>
                <w:rFonts w:hint="eastAsia"/>
                <w:sz w:val="18"/>
                <w:szCs w:val="18"/>
              </w:rPr>
              <w:t>流量阀控制功能：可进行小量大小调节</w:t>
            </w:r>
          </w:p>
        </w:tc>
      </w:tr>
      <w:tr w14:paraId="59C4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4E7B03D7">
            <w:pPr>
              <w:spacing w:line="360" w:lineRule="auto"/>
              <w:jc w:val="center"/>
              <w:rPr>
                <w:rFonts w:hint="eastAsia"/>
                <w:sz w:val="18"/>
                <w:szCs w:val="18"/>
              </w:rPr>
            </w:pPr>
            <w:r>
              <w:rPr>
                <w:rFonts w:hint="eastAsia"/>
                <w:sz w:val="18"/>
                <w:szCs w:val="18"/>
              </w:rPr>
              <w:t>4</w:t>
            </w:r>
          </w:p>
        </w:tc>
        <w:tc>
          <w:tcPr>
            <w:tcW w:w="8374" w:type="dxa"/>
            <w:noWrap w:val="0"/>
            <w:vAlign w:val="center"/>
          </w:tcPr>
          <w:p w14:paraId="3853B962">
            <w:pPr>
              <w:spacing w:line="360" w:lineRule="auto"/>
              <w:rPr>
                <w:rFonts w:hint="eastAsia"/>
                <w:sz w:val="18"/>
                <w:szCs w:val="18"/>
              </w:rPr>
            </w:pPr>
            <w:r>
              <w:rPr>
                <w:rFonts w:hint="eastAsia" w:ascii="宋体"/>
                <w:color w:val="000000"/>
                <w:sz w:val="18"/>
                <w:szCs w:val="18"/>
              </w:rPr>
              <w:t>温控阀控制功能：可对进水温度的大小进行调节</w:t>
            </w:r>
          </w:p>
        </w:tc>
      </w:tr>
      <w:tr w14:paraId="357E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5A025660">
            <w:pPr>
              <w:spacing w:line="360" w:lineRule="auto"/>
              <w:jc w:val="center"/>
              <w:rPr>
                <w:rFonts w:hint="eastAsia"/>
                <w:sz w:val="18"/>
                <w:szCs w:val="18"/>
              </w:rPr>
            </w:pPr>
            <w:r>
              <w:rPr>
                <w:rFonts w:hint="eastAsia"/>
                <w:sz w:val="18"/>
                <w:szCs w:val="18"/>
              </w:rPr>
              <w:t>5</w:t>
            </w:r>
          </w:p>
        </w:tc>
        <w:tc>
          <w:tcPr>
            <w:tcW w:w="8374" w:type="dxa"/>
            <w:noWrap w:val="0"/>
            <w:vAlign w:val="center"/>
          </w:tcPr>
          <w:p w14:paraId="2188E174">
            <w:pPr>
              <w:spacing w:line="360" w:lineRule="auto"/>
              <w:rPr>
                <w:rFonts w:hint="eastAsia"/>
                <w:sz w:val="18"/>
                <w:szCs w:val="18"/>
              </w:rPr>
            </w:pPr>
            <w:r>
              <w:rPr>
                <w:rFonts w:hint="eastAsia"/>
                <w:sz w:val="18"/>
                <w:szCs w:val="18"/>
              </w:rPr>
              <w:t>压力显示功能：实时监测肠疗者的肠内压力</w:t>
            </w:r>
          </w:p>
        </w:tc>
      </w:tr>
      <w:tr w14:paraId="6D04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304ADEBF">
            <w:pPr>
              <w:spacing w:line="360" w:lineRule="auto"/>
              <w:jc w:val="center"/>
              <w:rPr>
                <w:rFonts w:hint="eastAsia"/>
                <w:sz w:val="18"/>
                <w:szCs w:val="18"/>
              </w:rPr>
            </w:pPr>
            <w:r>
              <w:rPr>
                <w:rFonts w:hint="eastAsia"/>
                <w:sz w:val="18"/>
                <w:szCs w:val="18"/>
              </w:rPr>
              <w:t>6</w:t>
            </w:r>
          </w:p>
        </w:tc>
        <w:tc>
          <w:tcPr>
            <w:tcW w:w="8374" w:type="dxa"/>
            <w:noWrap w:val="0"/>
            <w:vAlign w:val="center"/>
          </w:tcPr>
          <w:p w14:paraId="0DE2070F">
            <w:pPr>
              <w:spacing w:line="360" w:lineRule="auto"/>
              <w:rPr>
                <w:rFonts w:hint="eastAsia"/>
                <w:sz w:val="18"/>
                <w:szCs w:val="18"/>
              </w:rPr>
            </w:pPr>
            <w:r>
              <w:rPr>
                <w:rFonts w:hint="eastAsia"/>
                <w:sz w:val="18"/>
                <w:szCs w:val="18"/>
              </w:rPr>
              <w:t>观察窗功能：可直接肉眼观察肠道排出的污物</w:t>
            </w:r>
          </w:p>
        </w:tc>
      </w:tr>
      <w:tr w14:paraId="643D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6347CC27">
            <w:pPr>
              <w:spacing w:line="360" w:lineRule="auto"/>
              <w:jc w:val="center"/>
              <w:rPr>
                <w:rFonts w:hint="eastAsia"/>
                <w:sz w:val="18"/>
                <w:szCs w:val="18"/>
              </w:rPr>
            </w:pPr>
            <w:r>
              <w:rPr>
                <w:rFonts w:hint="eastAsia"/>
                <w:sz w:val="18"/>
                <w:szCs w:val="18"/>
              </w:rPr>
              <w:t>7</w:t>
            </w:r>
          </w:p>
        </w:tc>
        <w:tc>
          <w:tcPr>
            <w:tcW w:w="8374" w:type="dxa"/>
            <w:noWrap w:val="0"/>
            <w:vAlign w:val="center"/>
          </w:tcPr>
          <w:p w14:paraId="2DFD72B5">
            <w:pPr>
              <w:spacing w:line="360" w:lineRule="auto"/>
              <w:rPr>
                <w:rFonts w:hint="eastAsia"/>
                <w:sz w:val="18"/>
                <w:szCs w:val="18"/>
              </w:rPr>
            </w:pPr>
            <w:r>
              <w:rPr>
                <w:rFonts w:hint="eastAsia"/>
                <w:sz w:val="18"/>
                <w:szCs w:val="18"/>
              </w:rPr>
              <w:t>温度显示功能：实时监测肠疗液体温度</w:t>
            </w:r>
          </w:p>
        </w:tc>
      </w:tr>
      <w:tr w14:paraId="235F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4346720">
            <w:pPr>
              <w:spacing w:line="360" w:lineRule="auto"/>
              <w:jc w:val="center"/>
              <w:rPr>
                <w:rFonts w:hint="eastAsia"/>
                <w:sz w:val="18"/>
                <w:szCs w:val="18"/>
              </w:rPr>
            </w:pPr>
            <w:r>
              <w:rPr>
                <w:rFonts w:hint="eastAsia"/>
                <w:sz w:val="18"/>
                <w:szCs w:val="18"/>
              </w:rPr>
              <w:t>8</w:t>
            </w:r>
          </w:p>
        </w:tc>
        <w:tc>
          <w:tcPr>
            <w:tcW w:w="8374" w:type="dxa"/>
            <w:noWrap w:val="0"/>
            <w:vAlign w:val="center"/>
          </w:tcPr>
          <w:p w14:paraId="3B643B81">
            <w:pPr>
              <w:spacing w:line="360" w:lineRule="auto"/>
              <w:rPr>
                <w:rFonts w:hint="eastAsia"/>
                <w:sz w:val="18"/>
                <w:szCs w:val="18"/>
              </w:rPr>
            </w:pPr>
            <w:r>
              <w:rPr>
                <w:rFonts w:hint="eastAsia"/>
                <w:sz w:val="18"/>
                <w:szCs w:val="18"/>
              </w:rPr>
              <w:t>时间显示功能：实时显示肠疗时间</w:t>
            </w:r>
          </w:p>
        </w:tc>
      </w:tr>
      <w:tr w14:paraId="1089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2F2B1789">
            <w:pPr>
              <w:spacing w:line="360" w:lineRule="auto"/>
              <w:jc w:val="center"/>
              <w:rPr>
                <w:rFonts w:hint="eastAsia"/>
                <w:sz w:val="18"/>
                <w:szCs w:val="18"/>
              </w:rPr>
            </w:pPr>
            <w:r>
              <w:rPr>
                <w:rFonts w:hint="eastAsia"/>
                <w:sz w:val="18"/>
                <w:szCs w:val="18"/>
              </w:rPr>
              <w:t>9</w:t>
            </w:r>
          </w:p>
        </w:tc>
        <w:tc>
          <w:tcPr>
            <w:tcW w:w="8374" w:type="dxa"/>
            <w:noWrap w:val="0"/>
            <w:vAlign w:val="center"/>
          </w:tcPr>
          <w:p w14:paraId="2957B8E8">
            <w:pPr>
              <w:spacing w:line="360" w:lineRule="auto"/>
              <w:rPr>
                <w:rFonts w:hint="eastAsia"/>
                <w:sz w:val="18"/>
                <w:szCs w:val="18"/>
              </w:rPr>
            </w:pPr>
            <w:r>
              <w:rPr>
                <w:rFonts w:hint="eastAsia" w:hAnsi="宋体"/>
                <w:color w:val="000000"/>
                <w:spacing w:val="20"/>
                <w:sz w:val="18"/>
                <w:szCs w:val="18"/>
              </w:rPr>
              <w:t>排放控制阀：阀式排放装置</w:t>
            </w:r>
          </w:p>
        </w:tc>
      </w:tr>
      <w:tr w14:paraId="2A38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21082A97">
            <w:pPr>
              <w:spacing w:line="360" w:lineRule="auto"/>
              <w:jc w:val="center"/>
              <w:rPr>
                <w:rFonts w:hint="eastAsia"/>
                <w:sz w:val="18"/>
                <w:szCs w:val="18"/>
              </w:rPr>
            </w:pPr>
            <w:r>
              <w:rPr>
                <w:rFonts w:hint="eastAsia"/>
                <w:sz w:val="18"/>
                <w:szCs w:val="18"/>
              </w:rPr>
              <w:t>10</w:t>
            </w:r>
          </w:p>
        </w:tc>
        <w:tc>
          <w:tcPr>
            <w:tcW w:w="8374" w:type="dxa"/>
            <w:noWrap w:val="0"/>
            <w:vAlign w:val="center"/>
          </w:tcPr>
          <w:p w14:paraId="4D9BEAC0">
            <w:pPr>
              <w:spacing w:line="360" w:lineRule="auto"/>
              <w:rPr>
                <w:rFonts w:hint="eastAsia"/>
                <w:sz w:val="18"/>
                <w:szCs w:val="18"/>
              </w:rPr>
            </w:pPr>
            <w:r>
              <w:rPr>
                <w:rFonts w:hint="eastAsia" w:ascii="宋体"/>
                <w:color w:val="000000"/>
                <w:sz w:val="18"/>
                <w:szCs w:val="18"/>
              </w:rPr>
              <w:t>一键式开机准备功能：治疗前，设备自动完成准备工作</w:t>
            </w:r>
          </w:p>
        </w:tc>
      </w:tr>
      <w:tr w14:paraId="1A76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7" w:type="dxa"/>
            <w:noWrap w:val="0"/>
            <w:vAlign w:val="center"/>
          </w:tcPr>
          <w:p w14:paraId="68BFE0AE">
            <w:pPr>
              <w:spacing w:line="360" w:lineRule="auto"/>
              <w:jc w:val="center"/>
              <w:rPr>
                <w:rFonts w:hint="eastAsia" w:ascii="宋体"/>
                <w:b/>
                <w:sz w:val="18"/>
                <w:szCs w:val="18"/>
              </w:rPr>
            </w:pPr>
            <w:r>
              <w:rPr>
                <w:rFonts w:hint="eastAsia" w:ascii="宋体"/>
                <w:b/>
                <w:sz w:val="18"/>
                <w:szCs w:val="18"/>
              </w:rPr>
              <w:t>三</w:t>
            </w:r>
          </w:p>
        </w:tc>
        <w:tc>
          <w:tcPr>
            <w:tcW w:w="8374" w:type="dxa"/>
            <w:noWrap w:val="0"/>
            <w:vAlign w:val="top"/>
          </w:tcPr>
          <w:p w14:paraId="17506F69">
            <w:pPr>
              <w:spacing w:line="360" w:lineRule="auto"/>
              <w:rPr>
                <w:rFonts w:hint="eastAsia" w:ascii="宋体"/>
                <w:b/>
                <w:sz w:val="18"/>
                <w:szCs w:val="18"/>
              </w:rPr>
            </w:pPr>
            <w:r>
              <w:rPr>
                <w:rFonts w:hint="eastAsia" w:ascii="宋体"/>
                <w:b/>
                <w:sz w:val="18"/>
                <w:szCs w:val="18"/>
              </w:rPr>
              <w:t>设备技术要求：</w:t>
            </w:r>
          </w:p>
        </w:tc>
      </w:tr>
      <w:tr w14:paraId="1ED5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dxa"/>
            <w:noWrap w:val="0"/>
            <w:vAlign w:val="center"/>
          </w:tcPr>
          <w:p w14:paraId="78716A84">
            <w:pPr>
              <w:spacing w:line="360" w:lineRule="auto"/>
              <w:jc w:val="center"/>
              <w:rPr>
                <w:rFonts w:hint="eastAsia"/>
                <w:sz w:val="18"/>
                <w:szCs w:val="18"/>
              </w:rPr>
            </w:pPr>
            <w:r>
              <w:rPr>
                <w:rFonts w:hint="eastAsia"/>
                <w:sz w:val="18"/>
                <w:szCs w:val="18"/>
              </w:rPr>
              <w:t>1</w:t>
            </w:r>
          </w:p>
        </w:tc>
        <w:tc>
          <w:tcPr>
            <w:tcW w:w="8374" w:type="dxa"/>
            <w:noWrap w:val="0"/>
            <w:vAlign w:val="center"/>
          </w:tcPr>
          <w:p w14:paraId="2E1FFC19">
            <w:pPr>
              <w:spacing w:line="360" w:lineRule="auto"/>
              <w:rPr>
                <w:rFonts w:hint="eastAsia" w:ascii="宋体"/>
                <w:sz w:val="18"/>
                <w:szCs w:val="18"/>
              </w:rPr>
            </w:pPr>
            <w:r>
              <w:rPr>
                <w:rFonts w:hint="eastAsia" w:ascii="宋体" w:hAnsi="宋体"/>
                <w:sz w:val="18"/>
                <w:szCs w:val="18"/>
              </w:rPr>
              <w:t>温控仪测量范围：0℃</w:t>
            </w:r>
            <w:r>
              <w:rPr>
                <w:rFonts w:ascii="宋体" w:hAnsi="宋体"/>
                <w:sz w:val="18"/>
                <w:szCs w:val="18"/>
              </w:rPr>
              <w:t>～</w:t>
            </w:r>
            <w:r>
              <w:rPr>
                <w:rFonts w:hint="eastAsia" w:ascii="宋体" w:hAnsi="宋体"/>
                <w:sz w:val="18"/>
                <w:szCs w:val="18"/>
              </w:rPr>
              <w:t>5</w:t>
            </w:r>
            <w:r>
              <w:rPr>
                <w:rFonts w:ascii="宋体" w:hAnsi="宋体"/>
                <w:sz w:val="18"/>
                <w:szCs w:val="18"/>
              </w:rPr>
              <w:t>0</w:t>
            </w:r>
            <w:r>
              <w:rPr>
                <w:rFonts w:hint="eastAsia" w:ascii="宋体" w:hAnsi="宋体"/>
                <w:sz w:val="18"/>
                <w:szCs w:val="18"/>
              </w:rPr>
              <w:t xml:space="preserve">℃,温控仪调节范围：26℃-39℃  </w:t>
            </w:r>
          </w:p>
        </w:tc>
      </w:tr>
      <w:tr w14:paraId="02A0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2C64103A">
            <w:pPr>
              <w:spacing w:line="360" w:lineRule="auto"/>
              <w:jc w:val="center"/>
              <w:rPr>
                <w:rFonts w:hint="eastAsia"/>
                <w:sz w:val="18"/>
                <w:szCs w:val="18"/>
              </w:rPr>
            </w:pPr>
            <w:r>
              <w:rPr>
                <w:rFonts w:hint="eastAsia"/>
                <w:sz w:val="18"/>
                <w:szCs w:val="18"/>
              </w:rPr>
              <w:t>2</w:t>
            </w:r>
          </w:p>
        </w:tc>
        <w:tc>
          <w:tcPr>
            <w:tcW w:w="8374" w:type="dxa"/>
            <w:noWrap w:val="0"/>
            <w:vAlign w:val="center"/>
          </w:tcPr>
          <w:p w14:paraId="4A9CDC8F">
            <w:pPr>
              <w:spacing w:line="360" w:lineRule="auto"/>
              <w:rPr>
                <w:rFonts w:hint="eastAsia"/>
                <w:sz w:val="18"/>
                <w:szCs w:val="18"/>
              </w:rPr>
            </w:pPr>
            <w:r>
              <w:rPr>
                <w:rFonts w:hint="eastAsia" w:ascii="宋体" w:hAnsi="宋体"/>
                <w:color w:val="000000"/>
                <w:sz w:val="18"/>
                <w:szCs w:val="18"/>
              </w:rPr>
              <w:t>压力表设置范围：0KP</w:t>
            </w:r>
            <w:r>
              <w:rPr>
                <w:rFonts w:ascii="宋体" w:hAnsi="宋体"/>
                <w:color w:val="000000"/>
                <w:sz w:val="18"/>
                <w:szCs w:val="18"/>
              </w:rPr>
              <w:t>a～</w:t>
            </w:r>
            <w:r>
              <w:rPr>
                <w:rFonts w:hint="eastAsia" w:ascii="宋体" w:hAnsi="宋体"/>
                <w:color w:val="000000"/>
                <w:sz w:val="18"/>
                <w:szCs w:val="18"/>
              </w:rPr>
              <w:t>5</w:t>
            </w:r>
            <w:r>
              <w:rPr>
                <w:rFonts w:ascii="宋体" w:hAnsi="宋体"/>
                <w:color w:val="000000"/>
                <w:sz w:val="18"/>
                <w:szCs w:val="18"/>
              </w:rPr>
              <w:t>0K</w:t>
            </w:r>
            <w:r>
              <w:rPr>
                <w:rFonts w:hint="eastAsia" w:ascii="宋体" w:hAnsi="宋体"/>
                <w:color w:val="000000"/>
                <w:sz w:val="18"/>
                <w:szCs w:val="18"/>
              </w:rPr>
              <w:t>P</w:t>
            </w:r>
            <w:r>
              <w:rPr>
                <w:rFonts w:ascii="宋体" w:hAnsi="宋体"/>
                <w:color w:val="000000"/>
                <w:sz w:val="18"/>
                <w:szCs w:val="18"/>
              </w:rPr>
              <w:t>a</w:t>
            </w:r>
            <w:r>
              <w:rPr>
                <w:rFonts w:hint="eastAsia" w:ascii="宋体" w:hAnsi="宋体"/>
                <w:color w:val="000000"/>
                <w:sz w:val="18"/>
                <w:szCs w:val="18"/>
              </w:rPr>
              <w:t>，压力表测量范围：0KP</w:t>
            </w:r>
            <w:r>
              <w:rPr>
                <w:rFonts w:ascii="宋体" w:hAnsi="宋体"/>
                <w:color w:val="000000"/>
                <w:sz w:val="18"/>
                <w:szCs w:val="18"/>
              </w:rPr>
              <w:t>a～</w:t>
            </w:r>
            <w:r>
              <w:rPr>
                <w:rFonts w:hint="eastAsia" w:ascii="宋体" w:hAnsi="宋体"/>
                <w:color w:val="000000"/>
                <w:sz w:val="18"/>
                <w:szCs w:val="18"/>
              </w:rPr>
              <w:t>20</w:t>
            </w:r>
            <w:r>
              <w:rPr>
                <w:rFonts w:ascii="宋体" w:hAnsi="宋体"/>
                <w:color w:val="000000"/>
                <w:sz w:val="18"/>
                <w:szCs w:val="18"/>
              </w:rPr>
              <w:t>K</w:t>
            </w:r>
            <w:r>
              <w:rPr>
                <w:rFonts w:hint="eastAsia" w:ascii="宋体" w:hAnsi="宋体"/>
                <w:color w:val="000000"/>
                <w:sz w:val="18"/>
                <w:szCs w:val="18"/>
              </w:rPr>
              <w:t>P</w:t>
            </w:r>
            <w:r>
              <w:rPr>
                <w:rFonts w:ascii="宋体" w:hAnsi="宋体"/>
                <w:color w:val="000000"/>
                <w:sz w:val="18"/>
                <w:szCs w:val="18"/>
              </w:rPr>
              <w:t>a</w:t>
            </w:r>
          </w:p>
        </w:tc>
      </w:tr>
      <w:tr w14:paraId="2731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23AF7C1">
            <w:pPr>
              <w:spacing w:line="360" w:lineRule="auto"/>
              <w:jc w:val="center"/>
              <w:rPr>
                <w:rFonts w:hint="eastAsia"/>
                <w:sz w:val="18"/>
                <w:szCs w:val="18"/>
              </w:rPr>
            </w:pPr>
            <w:r>
              <w:rPr>
                <w:rFonts w:hint="eastAsia"/>
                <w:sz w:val="18"/>
                <w:szCs w:val="18"/>
              </w:rPr>
              <w:t>3</w:t>
            </w:r>
          </w:p>
        </w:tc>
        <w:tc>
          <w:tcPr>
            <w:tcW w:w="8374" w:type="dxa"/>
            <w:noWrap w:val="0"/>
            <w:vAlign w:val="center"/>
          </w:tcPr>
          <w:p w14:paraId="14B79023">
            <w:pPr>
              <w:spacing w:line="360" w:lineRule="auto"/>
              <w:rPr>
                <w:rFonts w:hint="eastAsia"/>
                <w:sz w:val="18"/>
                <w:szCs w:val="18"/>
              </w:rPr>
            </w:pPr>
            <w:r>
              <w:rPr>
                <w:rFonts w:hint="eastAsia"/>
                <w:sz w:val="18"/>
                <w:szCs w:val="18"/>
              </w:rPr>
              <w:t>当加注药瓶压力达到40±5KPa时，药液加注应停止。</w:t>
            </w:r>
          </w:p>
        </w:tc>
      </w:tr>
      <w:tr w14:paraId="2ED4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3279AEBE">
            <w:pPr>
              <w:spacing w:line="360" w:lineRule="auto"/>
              <w:jc w:val="center"/>
              <w:rPr>
                <w:sz w:val="18"/>
                <w:szCs w:val="18"/>
              </w:rPr>
            </w:pPr>
            <w:r>
              <w:rPr>
                <w:rFonts w:hint="eastAsia"/>
                <w:sz w:val="18"/>
                <w:szCs w:val="18"/>
              </w:rPr>
              <w:t>4</w:t>
            </w:r>
          </w:p>
        </w:tc>
        <w:tc>
          <w:tcPr>
            <w:tcW w:w="8374" w:type="dxa"/>
            <w:noWrap w:val="0"/>
            <w:vAlign w:val="center"/>
          </w:tcPr>
          <w:p w14:paraId="34C135B4">
            <w:pPr>
              <w:spacing w:line="360" w:lineRule="auto"/>
              <w:rPr>
                <w:rFonts w:hint="eastAsia"/>
                <w:sz w:val="18"/>
                <w:szCs w:val="18"/>
              </w:rPr>
            </w:pPr>
            <w:r>
              <w:rPr>
                <w:rFonts w:hint="eastAsia" w:ascii="宋体" w:hAnsi="宋体"/>
                <w:sz w:val="18"/>
                <w:szCs w:val="18"/>
              </w:rPr>
              <w:t>水压达到</w:t>
            </w:r>
            <w:r>
              <w:rPr>
                <w:rFonts w:ascii="Arial" w:hAnsi="Arial" w:cs="Arial"/>
                <w:sz w:val="18"/>
                <w:szCs w:val="18"/>
              </w:rPr>
              <w:t>≥</w:t>
            </w:r>
            <w:r>
              <w:rPr>
                <w:rFonts w:hint="eastAsia" w:ascii="宋体" w:hAnsi="宋体"/>
                <w:sz w:val="18"/>
                <w:szCs w:val="18"/>
              </w:rPr>
              <w:t>10KP</w:t>
            </w:r>
            <w:r>
              <w:rPr>
                <w:rFonts w:ascii="宋体" w:hAnsi="宋体"/>
                <w:sz w:val="18"/>
                <w:szCs w:val="18"/>
              </w:rPr>
              <w:t>a</w:t>
            </w:r>
            <w:r>
              <w:rPr>
                <w:rFonts w:hint="eastAsia" w:ascii="宋体" w:hAnsi="宋体"/>
                <w:sz w:val="18"/>
                <w:szCs w:val="18"/>
              </w:rPr>
              <w:t>时，设备进水指示灯应熄灭，进水阀关闭，确保使用安全。</w:t>
            </w:r>
          </w:p>
        </w:tc>
      </w:tr>
      <w:tr w14:paraId="1A2C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FD1B938">
            <w:pPr>
              <w:spacing w:line="360" w:lineRule="auto"/>
              <w:jc w:val="center"/>
              <w:rPr>
                <w:rFonts w:hint="eastAsia"/>
                <w:sz w:val="18"/>
                <w:szCs w:val="18"/>
              </w:rPr>
            </w:pPr>
            <w:r>
              <w:rPr>
                <w:rFonts w:hint="eastAsia"/>
                <w:sz w:val="18"/>
                <w:szCs w:val="18"/>
              </w:rPr>
              <w:t>5</w:t>
            </w:r>
          </w:p>
        </w:tc>
        <w:tc>
          <w:tcPr>
            <w:tcW w:w="8374" w:type="dxa"/>
            <w:noWrap w:val="0"/>
            <w:vAlign w:val="center"/>
          </w:tcPr>
          <w:p w14:paraId="4298F298">
            <w:pPr>
              <w:spacing w:line="360" w:lineRule="auto"/>
              <w:rPr>
                <w:rFonts w:hint="eastAsia"/>
                <w:sz w:val="18"/>
                <w:szCs w:val="18"/>
              </w:rPr>
            </w:pPr>
            <w:r>
              <w:rPr>
                <w:rFonts w:hint="eastAsia" w:ascii="宋体" w:hAnsi="宋体"/>
                <w:sz w:val="18"/>
                <w:szCs w:val="18"/>
              </w:rPr>
              <w:t>使用过程中，当水的温度</w:t>
            </w:r>
            <w:r>
              <w:rPr>
                <w:rFonts w:ascii="Arial" w:hAnsi="Arial" w:cs="Arial"/>
                <w:sz w:val="18"/>
                <w:szCs w:val="18"/>
              </w:rPr>
              <w:t>≥</w:t>
            </w:r>
            <w:r>
              <w:rPr>
                <w:rFonts w:hint="eastAsia" w:ascii="宋体" w:hAnsi="宋体"/>
                <w:sz w:val="18"/>
                <w:szCs w:val="18"/>
              </w:rPr>
              <w:t>39℃时，进水指示灯应熄灭，进水阀关闭。</w:t>
            </w:r>
          </w:p>
        </w:tc>
      </w:tr>
      <w:tr w14:paraId="6C46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C02FDBD">
            <w:pPr>
              <w:spacing w:line="360" w:lineRule="auto"/>
              <w:jc w:val="center"/>
              <w:rPr>
                <w:rFonts w:hint="eastAsia"/>
                <w:sz w:val="18"/>
                <w:szCs w:val="18"/>
              </w:rPr>
            </w:pPr>
            <w:r>
              <w:rPr>
                <w:rFonts w:hint="eastAsia"/>
                <w:sz w:val="18"/>
                <w:szCs w:val="18"/>
              </w:rPr>
              <w:t>6</w:t>
            </w:r>
          </w:p>
        </w:tc>
        <w:tc>
          <w:tcPr>
            <w:tcW w:w="8374" w:type="dxa"/>
            <w:noWrap w:val="0"/>
            <w:vAlign w:val="center"/>
          </w:tcPr>
          <w:p w14:paraId="326F7157">
            <w:pPr>
              <w:spacing w:line="360" w:lineRule="auto"/>
              <w:rPr>
                <w:rFonts w:hint="eastAsia"/>
                <w:sz w:val="18"/>
                <w:szCs w:val="18"/>
              </w:rPr>
            </w:pPr>
            <w:r>
              <w:rPr>
                <w:rFonts w:hint="eastAsia" w:ascii="宋体" w:hAnsi="宋体"/>
                <w:sz w:val="18"/>
                <w:szCs w:val="18"/>
              </w:rPr>
              <w:t>设备水流量应能控制在为：60L／</w:t>
            </w:r>
            <w:r>
              <w:rPr>
                <w:rFonts w:ascii="宋体" w:hAnsi="宋体"/>
                <w:sz w:val="18"/>
                <w:szCs w:val="18"/>
              </w:rPr>
              <w:t>h</w:t>
            </w:r>
            <w:r>
              <w:rPr>
                <w:rFonts w:hint="eastAsia" w:ascii="宋体" w:hAnsi="宋体"/>
                <w:sz w:val="18"/>
                <w:szCs w:val="18"/>
              </w:rPr>
              <w:t>～80L／</w:t>
            </w:r>
            <w:r>
              <w:rPr>
                <w:rFonts w:ascii="宋体" w:hAnsi="宋体"/>
                <w:sz w:val="18"/>
                <w:szCs w:val="18"/>
              </w:rPr>
              <w:t>h</w:t>
            </w:r>
          </w:p>
        </w:tc>
      </w:tr>
      <w:tr w14:paraId="179A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E16B480">
            <w:pPr>
              <w:spacing w:line="360" w:lineRule="auto"/>
              <w:jc w:val="center"/>
              <w:rPr>
                <w:rFonts w:hint="eastAsia"/>
                <w:sz w:val="18"/>
                <w:szCs w:val="18"/>
              </w:rPr>
            </w:pPr>
            <w:r>
              <w:rPr>
                <w:rFonts w:hint="eastAsia"/>
                <w:sz w:val="18"/>
                <w:szCs w:val="18"/>
              </w:rPr>
              <w:t>7</w:t>
            </w:r>
          </w:p>
        </w:tc>
        <w:tc>
          <w:tcPr>
            <w:tcW w:w="8374" w:type="dxa"/>
            <w:noWrap w:val="0"/>
            <w:vAlign w:val="center"/>
          </w:tcPr>
          <w:p w14:paraId="04A48DE9">
            <w:pPr>
              <w:spacing w:line="360" w:lineRule="auto"/>
              <w:rPr>
                <w:rFonts w:hint="eastAsia"/>
                <w:sz w:val="18"/>
                <w:szCs w:val="18"/>
              </w:rPr>
            </w:pPr>
            <w:r>
              <w:rPr>
                <w:rFonts w:hint="eastAsia"/>
                <w:sz w:val="18"/>
                <w:szCs w:val="18"/>
              </w:rPr>
              <w:t>采用反渗透净化装置：</w:t>
            </w:r>
            <w:r>
              <w:rPr>
                <w:rFonts w:hint="eastAsia" w:ascii="宋体" w:hAnsi="宋体"/>
                <w:sz w:val="18"/>
                <w:szCs w:val="18"/>
              </w:rPr>
              <w:t>水质过滤精度：≤5um</w:t>
            </w:r>
          </w:p>
        </w:tc>
      </w:tr>
      <w:tr w14:paraId="2B4A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0511CD8D">
            <w:pPr>
              <w:spacing w:line="360" w:lineRule="auto"/>
              <w:jc w:val="center"/>
              <w:rPr>
                <w:rFonts w:hint="eastAsia"/>
                <w:b/>
                <w:bCs/>
                <w:sz w:val="18"/>
                <w:szCs w:val="18"/>
              </w:rPr>
            </w:pPr>
            <w:r>
              <w:rPr>
                <w:rFonts w:hint="eastAsia"/>
                <w:b/>
                <w:bCs/>
                <w:sz w:val="18"/>
                <w:szCs w:val="18"/>
              </w:rPr>
              <w:t>四</w:t>
            </w:r>
          </w:p>
        </w:tc>
        <w:tc>
          <w:tcPr>
            <w:tcW w:w="8374" w:type="dxa"/>
            <w:noWrap w:val="0"/>
            <w:vAlign w:val="center"/>
          </w:tcPr>
          <w:p w14:paraId="01A62F5B">
            <w:pPr>
              <w:spacing w:line="360" w:lineRule="auto"/>
              <w:rPr>
                <w:rFonts w:hint="eastAsia"/>
                <w:b/>
                <w:bCs/>
                <w:sz w:val="18"/>
                <w:szCs w:val="18"/>
              </w:rPr>
            </w:pPr>
            <w:r>
              <w:rPr>
                <w:rFonts w:hint="eastAsia"/>
                <w:b/>
                <w:bCs/>
                <w:sz w:val="18"/>
                <w:szCs w:val="18"/>
              </w:rPr>
              <w:t>安全性能要求</w:t>
            </w:r>
          </w:p>
        </w:tc>
      </w:tr>
      <w:tr w14:paraId="6386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64AB65C5">
            <w:pPr>
              <w:spacing w:line="360" w:lineRule="auto"/>
              <w:jc w:val="center"/>
              <w:rPr>
                <w:rFonts w:hint="eastAsia"/>
                <w:sz w:val="18"/>
                <w:szCs w:val="18"/>
              </w:rPr>
            </w:pPr>
            <w:r>
              <w:rPr>
                <w:rFonts w:hint="eastAsia"/>
                <w:sz w:val="18"/>
                <w:szCs w:val="18"/>
              </w:rPr>
              <w:t>1</w:t>
            </w:r>
          </w:p>
        </w:tc>
        <w:tc>
          <w:tcPr>
            <w:tcW w:w="8374" w:type="dxa"/>
            <w:noWrap w:val="0"/>
            <w:vAlign w:val="center"/>
          </w:tcPr>
          <w:p w14:paraId="0D84257F">
            <w:pPr>
              <w:spacing w:line="360" w:lineRule="auto"/>
              <w:rPr>
                <w:rFonts w:hint="eastAsia"/>
                <w:sz w:val="18"/>
                <w:szCs w:val="18"/>
              </w:rPr>
            </w:pPr>
            <w:r>
              <w:rPr>
                <w:rFonts w:hint="eastAsia"/>
                <w:sz w:val="18"/>
                <w:szCs w:val="18"/>
              </w:rPr>
              <w:t>压力自动保护系统</w:t>
            </w:r>
          </w:p>
        </w:tc>
      </w:tr>
      <w:tr w14:paraId="504F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E829098">
            <w:pPr>
              <w:spacing w:line="360" w:lineRule="auto"/>
              <w:jc w:val="center"/>
              <w:rPr>
                <w:sz w:val="18"/>
                <w:szCs w:val="18"/>
              </w:rPr>
            </w:pPr>
            <w:r>
              <w:rPr>
                <w:rFonts w:hint="eastAsia"/>
                <w:sz w:val="18"/>
                <w:szCs w:val="18"/>
              </w:rPr>
              <w:t>2</w:t>
            </w:r>
          </w:p>
        </w:tc>
        <w:tc>
          <w:tcPr>
            <w:tcW w:w="8374" w:type="dxa"/>
            <w:noWrap w:val="0"/>
            <w:vAlign w:val="center"/>
          </w:tcPr>
          <w:p w14:paraId="1519B64D">
            <w:pPr>
              <w:spacing w:line="360" w:lineRule="auto"/>
              <w:rPr>
                <w:rFonts w:hint="eastAsia"/>
                <w:sz w:val="18"/>
                <w:szCs w:val="18"/>
              </w:rPr>
            </w:pPr>
            <w:r>
              <w:rPr>
                <w:rFonts w:hint="eastAsia"/>
                <w:sz w:val="18"/>
                <w:szCs w:val="18"/>
              </w:rPr>
              <w:t>时间自动控制系统</w:t>
            </w:r>
          </w:p>
        </w:tc>
      </w:tr>
      <w:tr w14:paraId="255C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6DEA4EF4">
            <w:pPr>
              <w:spacing w:line="360" w:lineRule="auto"/>
              <w:jc w:val="center"/>
              <w:rPr>
                <w:sz w:val="18"/>
                <w:szCs w:val="18"/>
              </w:rPr>
            </w:pPr>
            <w:r>
              <w:rPr>
                <w:rFonts w:hint="eastAsia"/>
                <w:sz w:val="18"/>
                <w:szCs w:val="18"/>
              </w:rPr>
              <w:t>3</w:t>
            </w:r>
          </w:p>
        </w:tc>
        <w:tc>
          <w:tcPr>
            <w:tcW w:w="8374" w:type="dxa"/>
            <w:noWrap w:val="0"/>
            <w:vAlign w:val="center"/>
          </w:tcPr>
          <w:p w14:paraId="7AF06B6A">
            <w:pPr>
              <w:spacing w:line="360" w:lineRule="auto"/>
              <w:rPr>
                <w:rFonts w:hint="eastAsia"/>
                <w:sz w:val="18"/>
                <w:szCs w:val="18"/>
              </w:rPr>
            </w:pPr>
            <w:r>
              <w:rPr>
                <w:rFonts w:hint="eastAsia"/>
                <w:sz w:val="18"/>
                <w:szCs w:val="18"/>
              </w:rPr>
              <w:t>温度自动保护系统</w:t>
            </w:r>
          </w:p>
        </w:tc>
      </w:tr>
      <w:tr w14:paraId="1DE6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6DA5AC67">
            <w:pPr>
              <w:spacing w:line="360" w:lineRule="auto"/>
              <w:jc w:val="center"/>
              <w:rPr>
                <w:sz w:val="18"/>
                <w:szCs w:val="18"/>
              </w:rPr>
            </w:pPr>
            <w:r>
              <w:rPr>
                <w:rFonts w:hint="eastAsia"/>
                <w:sz w:val="18"/>
                <w:szCs w:val="18"/>
              </w:rPr>
              <w:t>4</w:t>
            </w:r>
          </w:p>
        </w:tc>
        <w:tc>
          <w:tcPr>
            <w:tcW w:w="8374" w:type="dxa"/>
            <w:noWrap w:val="0"/>
            <w:vAlign w:val="center"/>
          </w:tcPr>
          <w:p w14:paraId="6D5B7ECD">
            <w:pPr>
              <w:spacing w:line="360" w:lineRule="auto"/>
              <w:rPr>
                <w:rFonts w:hint="eastAsia"/>
                <w:sz w:val="18"/>
                <w:szCs w:val="18"/>
              </w:rPr>
            </w:pPr>
            <w:r>
              <w:rPr>
                <w:rFonts w:hint="eastAsia"/>
                <w:sz w:val="18"/>
                <w:szCs w:val="18"/>
              </w:rPr>
              <w:t>流量自动控制系统</w:t>
            </w:r>
          </w:p>
        </w:tc>
      </w:tr>
      <w:tr w14:paraId="088F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0862B6E3">
            <w:pPr>
              <w:spacing w:line="360" w:lineRule="auto"/>
              <w:jc w:val="center"/>
              <w:rPr>
                <w:sz w:val="18"/>
                <w:szCs w:val="18"/>
              </w:rPr>
            </w:pPr>
            <w:r>
              <w:rPr>
                <w:rFonts w:hint="eastAsia"/>
                <w:sz w:val="18"/>
                <w:szCs w:val="18"/>
              </w:rPr>
              <w:t>5</w:t>
            </w:r>
          </w:p>
        </w:tc>
        <w:tc>
          <w:tcPr>
            <w:tcW w:w="8374" w:type="dxa"/>
            <w:noWrap w:val="0"/>
            <w:vAlign w:val="center"/>
          </w:tcPr>
          <w:p w14:paraId="7C610769">
            <w:pPr>
              <w:spacing w:line="360" w:lineRule="auto"/>
              <w:rPr>
                <w:rFonts w:hint="eastAsia"/>
                <w:sz w:val="18"/>
                <w:szCs w:val="18"/>
              </w:rPr>
            </w:pPr>
            <w:r>
              <w:rPr>
                <w:rFonts w:hint="eastAsia"/>
                <w:sz w:val="18"/>
                <w:szCs w:val="18"/>
              </w:rPr>
              <w:t>灌注液与药液管路分离</w:t>
            </w:r>
          </w:p>
        </w:tc>
      </w:tr>
    </w:tbl>
    <w:p w14:paraId="6DB5AA7A">
      <w:pPr>
        <w:pStyle w:val="4"/>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2043FB70">
      <w:pPr>
        <w:pStyle w:val="4"/>
        <w:ind w:left="0" w:leftChars="0" w:firstLine="638" w:firstLineChars="266"/>
        <w:rPr>
          <w:rFonts w:hint="eastAsia" w:ascii="宋体" w:hAnsi="宋体" w:eastAsia="宋体" w:cs="宋体"/>
          <w:color w:val="auto"/>
          <w:sz w:val="24"/>
          <w:szCs w:val="24"/>
          <w:lang w:val="en-US" w:eastAsia="zh-CN"/>
        </w:rPr>
      </w:pP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eastAsia" w:ascii="宋体" w:hAnsi="宋体" w:eastAsia="宋体" w:cs="宋体"/>
          <w:color w:val="auto"/>
          <w:sz w:val="24"/>
          <w:szCs w:val="24"/>
          <w:lang w:val="en-US" w:eastAsia="zh-CN"/>
        </w:rPr>
        <w:t>。</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lang w:val="en-US" w:eastAsia="zh-CN"/>
        </w:rPr>
        <w:t>30日内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szCs w:val="24"/>
          <w:highlight w:val="none"/>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w:t>
      </w:r>
      <w:r>
        <w:rPr>
          <w:rFonts w:hint="eastAsia" w:ascii="宋体" w:hAnsi="宋体" w:cs="宋体"/>
          <w:color w:val="auto"/>
          <w:sz w:val="24"/>
          <w:szCs w:val="24"/>
          <w:lang w:val="en-US" w:eastAsia="zh-CN"/>
        </w:rPr>
        <w:t>一次性开</w:t>
      </w:r>
      <w:r>
        <w:rPr>
          <w:rFonts w:hint="eastAsia" w:cs="宋体"/>
          <w:color w:val="auto"/>
          <w:sz w:val="24"/>
          <w:szCs w:val="24"/>
          <w:lang w:val="en-US" w:eastAsia="zh-CN"/>
        </w:rPr>
        <w:t>具</w:t>
      </w:r>
      <w:r>
        <w:rPr>
          <w:rFonts w:hint="eastAsia" w:cs="宋体"/>
          <w:color w:val="auto"/>
          <w:sz w:val="24"/>
          <w:szCs w:val="24"/>
          <w:highlight w:val="none"/>
          <w:lang w:val="en-US" w:eastAsia="zh-CN"/>
        </w:rPr>
        <w:t>成交</w:t>
      </w:r>
      <w:r>
        <w:rPr>
          <w:rFonts w:hint="eastAsia" w:ascii="宋体" w:hAnsi="宋体" w:cs="宋体"/>
          <w:color w:val="auto"/>
          <w:sz w:val="24"/>
          <w:szCs w:val="24"/>
          <w:highlight w:val="none"/>
          <w:lang w:val="en-US" w:eastAsia="zh-CN"/>
        </w:rPr>
        <w:t>金额的发票，</w:t>
      </w:r>
      <w:r>
        <w:rPr>
          <w:rFonts w:hint="eastAsia" w:cs="宋体"/>
          <w:color w:val="auto"/>
          <w:sz w:val="24"/>
          <w:szCs w:val="24"/>
          <w:highlight w:val="none"/>
          <w:lang w:val="en-US" w:eastAsia="zh-CN"/>
        </w:rPr>
        <w:t>采购人60日内支付合同金额的90%，</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满1年支付剩余10%</w:t>
      </w:r>
      <w:r>
        <w:rPr>
          <w:rFonts w:hint="default" w:ascii="宋体" w:hAnsi="宋体" w:eastAsia="宋体" w:cs="宋体"/>
          <w:color w:val="auto"/>
          <w:sz w:val="24"/>
          <w:szCs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5C78CE5">
      <w:pPr>
        <w:tabs>
          <w:tab w:val="left" w:pos="7665"/>
        </w:tabs>
        <w:spacing w:line="400" w:lineRule="exact"/>
        <w:ind w:firstLine="482"/>
        <w:jc w:val="both"/>
        <w:outlineLvl w:val="0"/>
        <w:rPr>
          <w:rFonts w:hint="default" w:ascii="黑体" w:hAnsi="宋体" w:eastAsia="黑体"/>
          <w:b/>
          <w:bCs/>
          <w:sz w:val="32"/>
          <w:szCs w:val="32"/>
          <w:lang w:val="en-US" w:eastAsia="zh-CN"/>
        </w:rPr>
      </w:pPr>
      <w:r>
        <w:rPr>
          <w:rFonts w:hint="eastAsia" w:ascii="宋体" w:hAnsi="宋体" w:eastAsia="宋体" w:cs="Times New Roman"/>
          <w:sz w:val="24"/>
          <w:szCs w:val="24"/>
          <w:lang w:val="en-US" w:eastAsia="zh-CN"/>
        </w:rPr>
        <w:t>3.2025年（含）以后生产的产品。</w:t>
      </w:r>
    </w:p>
    <w:p w14:paraId="0BA68677">
      <w:pPr>
        <w:tabs>
          <w:tab w:val="left" w:pos="7665"/>
        </w:tabs>
        <w:spacing w:line="400" w:lineRule="exact"/>
        <w:ind w:firstLine="482"/>
        <w:jc w:val="center"/>
        <w:outlineLvl w:val="0"/>
        <w:rPr>
          <w:rFonts w:hint="eastAsia" w:ascii="黑体" w:hAnsi="宋体" w:eastAsia="黑体"/>
          <w:b/>
          <w:bCs/>
          <w:sz w:val="32"/>
          <w:szCs w:val="32"/>
        </w:rPr>
      </w:pPr>
    </w:p>
    <w:p w14:paraId="32C19FF9">
      <w:pPr>
        <w:pStyle w:val="6"/>
        <w:rPr>
          <w:rFonts w:hint="eastAsia" w:ascii="黑体" w:hAnsi="宋体" w:eastAsia="黑体"/>
          <w:b/>
          <w:bCs/>
          <w:sz w:val="32"/>
          <w:szCs w:val="32"/>
        </w:rPr>
      </w:pPr>
    </w:p>
    <w:p w14:paraId="18A62DEB">
      <w:pPr>
        <w:pStyle w:val="7"/>
        <w:rPr>
          <w:rFonts w:hint="eastAsia"/>
        </w:rPr>
      </w:pPr>
    </w:p>
    <w:p w14:paraId="13E9479E">
      <w:pPr>
        <w:pStyle w:val="7"/>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7"/>
        <w:rPr>
          <w:rFonts w:hint="eastAsia"/>
          <w:b/>
          <w:sz w:val="32"/>
          <w:szCs w:val="32"/>
        </w:rPr>
      </w:pPr>
    </w:p>
    <w:p w14:paraId="3E2BAE9F">
      <w:pPr>
        <w:pStyle w:val="7"/>
        <w:rPr>
          <w:rFonts w:hint="eastAsia"/>
          <w:b/>
          <w:sz w:val="32"/>
          <w:szCs w:val="32"/>
        </w:rPr>
      </w:pPr>
    </w:p>
    <w:p w14:paraId="31CC1F9B">
      <w:pPr>
        <w:pStyle w:val="7"/>
        <w:rPr>
          <w:rFonts w:hint="eastAsia"/>
          <w:b/>
          <w:sz w:val="32"/>
          <w:szCs w:val="32"/>
        </w:rPr>
      </w:pPr>
    </w:p>
    <w:p w14:paraId="66F4DD6C">
      <w:pPr>
        <w:pStyle w:val="7"/>
        <w:rPr>
          <w:rFonts w:hint="eastAsia"/>
          <w:b/>
          <w:sz w:val="32"/>
          <w:szCs w:val="32"/>
        </w:rPr>
      </w:pPr>
    </w:p>
    <w:p w14:paraId="1F7476C0">
      <w:pPr>
        <w:pStyle w:val="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7"/>
        <w:rPr>
          <w:rFonts w:hint="eastAsia"/>
          <w:b/>
          <w:sz w:val="32"/>
          <w:szCs w:val="32"/>
        </w:rPr>
      </w:pPr>
    </w:p>
    <w:p w14:paraId="4573D810">
      <w:pPr>
        <w:pStyle w:val="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（三）一旦我方成交，我方将严格履行政府采购合同规定的责任和义务。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7"/>
        <w:rPr>
          <w:rFonts w:hint="eastAsia"/>
          <w:lang w:eastAsia="zh-CN"/>
        </w:rPr>
      </w:pPr>
    </w:p>
    <w:p w14:paraId="03EF6F1C">
      <w:pPr>
        <w:pStyle w:val="7"/>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7"/>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7"/>
        <w:rPr>
          <w:sz w:val="24"/>
          <w:highlight w:val="white"/>
        </w:rPr>
      </w:pPr>
    </w:p>
    <w:p w14:paraId="4C0E06A2">
      <w:pPr>
        <w:pStyle w:val="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7"/>
        <w:rPr>
          <w:rFonts w:hint="eastAsia"/>
          <w:sz w:val="24"/>
          <w:highlight w:val="white"/>
        </w:rPr>
      </w:pPr>
    </w:p>
    <w:p w14:paraId="1C83667E">
      <w:pPr>
        <w:pStyle w:val="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7"/>
        <w:rPr>
          <w:rFonts w:hint="eastAsia"/>
          <w:sz w:val="24"/>
          <w:highlight w:val="white"/>
        </w:rPr>
      </w:pPr>
    </w:p>
    <w:p w14:paraId="632478B8">
      <w:pPr>
        <w:pStyle w:val="7"/>
        <w:rPr>
          <w:rFonts w:hint="eastAsia"/>
          <w:sz w:val="24"/>
          <w:highlight w:val="white"/>
        </w:rPr>
      </w:pPr>
    </w:p>
    <w:p w14:paraId="0483F5B2">
      <w:pPr>
        <w:pStyle w:val="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7"/>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7"/>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7"/>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Body Text First Indent"/>
    <w:basedOn w:val="6"/>
    <w:autoRedefine/>
    <w:qFormat/>
    <w:uiPriority w:val="0"/>
    <w:pPr>
      <w:ind w:firstLine="420" w:firstLineChars="100"/>
    </w:p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3873</Words>
  <Characters>4087</Characters>
  <Lines>0</Lines>
  <Paragraphs>0</Paragraphs>
  <TotalTime>3</TotalTime>
  <ScaleCrop>false</ScaleCrop>
  <LinksUpToDate>false</LinksUpToDate>
  <CharactersWithSpaces>4133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2025-09-16T08:30:17Z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