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843627"/>
      <w:bookmarkEnd w:id="0"/>
      <w:bookmarkStart w:id="1" w:name="_Hlt10123373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结肠水疗仪</w:t>
      </w:r>
    </w:p>
    <w:p w14:paraId="14DDC134">
      <w:pPr>
        <w:pStyle w:val="29"/>
        <w:jc w:val="center"/>
        <w:outlineLvl w:val="2"/>
      </w:pPr>
      <w:r>
        <w:rPr>
          <w:b/>
          <w:sz w:val="28"/>
        </w:rPr>
        <w:t>采购项目编号：</w:t>
      </w:r>
      <w:r>
        <w:rPr>
          <w:rFonts w:hint="eastAsia" w:ascii="宋体"/>
          <w:b/>
          <w:sz w:val="30"/>
          <w:szCs w:val="30"/>
          <w:lang w:eastAsia="zh-CN"/>
        </w:rPr>
        <w:t>LYC-2025-092</w:t>
      </w:r>
      <w:r>
        <w:br w:type="textWrapping"/>
      </w:r>
      <w:r>
        <w:br w:type="textWrapping"/>
      </w:r>
    </w:p>
    <w:p w14:paraId="10D0C956">
      <w:pPr>
        <w:pStyle w:val="29"/>
        <w:jc w:val="center"/>
        <w:outlineLvl w:val="2"/>
      </w:pPr>
    </w:p>
    <w:p w14:paraId="69B2524C">
      <w:pPr>
        <w:pStyle w:val="29"/>
        <w:jc w:val="center"/>
        <w:outlineLvl w:val="2"/>
      </w:pPr>
      <w:r>
        <w:rPr>
          <w:rFonts w:hint="eastAsia"/>
          <w:b/>
          <w:sz w:val="28"/>
          <w:lang w:eastAsia="zh-CN"/>
        </w:rPr>
        <w:t>邻水县人民医院</w:t>
      </w:r>
      <w:r>
        <w:rPr>
          <w:b/>
          <w:sz w:val="28"/>
        </w:rPr>
        <w:t>编制</w:t>
      </w:r>
    </w:p>
    <w:p w14:paraId="0EC99388">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9</w:t>
      </w:r>
      <w:r>
        <w:rPr>
          <w:b/>
          <w:sz w:val="28"/>
        </w:rPr>
        <w:t>月</w:t>
      </w:r>
      <w:r>
        <w:rPr>
          <w:rFonts w:hint="eastAsia"/>
          <w:b/>
          <w:sz w:val="28"/>
          <w:lang w:val="en-US" w:eastAsia="zh-CN"/>
        </w:rPr>
        <w:t>5</w:t>
      </w:r>
      <w:r>
        <w:rPr>
          <w:b/>
          <w:sz w:val="28"/>
        </w:rPr>
        <w:t>日</w:t>
      </w:r>
    </w:p>
    <w:p w14:paraId="4C082501">
      <w:pPr>
        <w:pStyle w:val="29"/>
        <w:jc w:val="center"/>
        <w:outlineLvl w:val="2"/>
      </w:pP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30906"/>
      <w:bookmarkStart w:id="3" w:name="_Toc2769"/>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 xml:space="preserve">LYC-2025-092 </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结肠水疗仪</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4E4A549C">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16</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16</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t>
      </w:r>
      <w:r>
        <w:rPr>
          <w:rFonts w:hint="eastAsia" w:ascii="宋体" w:hAnsi="宋体"/>
          <w:bCs/>
          <w:sz w:val="24"/>
          <w:lang w:val="en-US" w:eastAsia="zh-CN"/>
        </w:rPr>
        <w:t>s</w:t>
      </w:r>
      <w:r>
        <w:rPr>
          <w:rFonts w:hint="eastAsia" w:ascii="宋体" w:hAnsi="宋体"/>
          <w:bCs/>
          <w:sz w:val="24"/>
          <w:lang w:eastAsia="zh-CN"/>
        </w:rPr>
        <w:t>://www.lsxrmyy.cn/）或</w:t>
      </w:r>
      <w:r>
        <w:rPr>
          <w:rFonts w:hint="eastAsia" w:ascii="宋体" w:hAnsi="宋体"/>
          <w:bCs/>
          <w:color w:val="auto"/>
          <w:sz w:val="24"/>
          <w:lang w:eastAsia="zh-CN"/>
        </w:rPr>
        <w:t>广安公共资源交易网（https://gasggzy.cn/）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w:t>
      </w:r>
      <w:r>
        <w:rPr>
          <w:rFonts w:hint="eastAsia" w:ascii="宋体" w:hAnsi="宋体" w:cs="Times New Roman"/>
          <w:sz w:val="24"/>
          <w:szCs w:val="22"/>
          <w:highlight w:val="none"/>
        </w:rPr>
        <w:t>本项目的特定资格要</w:t>
      </w:r>
      <w:r>
        <w:rPr>
          <w:rFonts w:hint="eastAsia" w:ascii="宋体" w:hAnsi="宋体" w:eastAsia="宋体" w:cs="Times New Roman"/>
          <w:sz w:val="24"/>
          <w:szCs w:val="22"/>
          <w:highlight w:val="none"/>
        </w:rPr>
        <w:t>求</w:t>
      </w:r>
      <w:r>
        <w:rPr>
          <w:rFonts w:hint="eastAsia" w:ascii="宋体" w:hAnsi="宋体" w:eastAsia="宋体" w:cs="Times New Roman"/>
          <w:sz w:val="24"/>
          <w:szCs w:val="22"/>
        </w:rPr>
        <w:t>：</w:t>
      </w:r>
      <w:r>
        <w:rPr>
          <w:rFonts w:hint="eastAsia" w:ascii="宋体" w:hAnsi="宋体" w:cs="Times New Roman"/>
          <w:sz w:val="24"/>
          <w:szCs w:val="22"/>
          <w:lang w:val="en-US" w:eastAsia="zh-CN"/>
        </w:rPr>
        <w:t>具有医疗器械生产或经营企业许可证明 (三类医疗器械提供《医疗器械经营许可证》,二类医疗器械提供《第二类医疗器械经营备案凭证》)。经营或生产范围与投标产品类别一致。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9</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10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报名。报名资料：营业执照、法人授权委托书、身份证复印件。报名后，收到本邮箱的“报名成功”回复才表示报名成功，否则视为报名无效。询价通知书在邻水县人民医院官网</w:t>
      </w:r>
      <w:r>
        <w:rPr>
          <w:rFonts w:hint="eastAsia" w:ascii="宋体" w:hAnsi="宋体"/>
          <w:bCs/>
          <w:color w:val="auto"/>
          <w:sz w:val="24"/>
          <w:lang w:eastAsia="zh-CN"/>
        </w:rPr>
        <w:t>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9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11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eastAsia="宋体" w:cs="宋体"/>
          <w:b w:val="0"/>
          <w:bCs/>
          <w:color w:val="auto"/>
          <w:sz w:val="24"/>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、郭老师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、18728680518 </w:t>
      </w:r>
    </w:p>
    <w:p w14:paraId="29538C5F">
      <w:pPr>
        <w:pStyle w:val="21"/>
        <w:spacing w:line="440" w:lineRule="exact"/>
        <w:ind w:firstLine="1200" w:firstLineChars="500"/>
        <w:rPr>
          <w:rFonts w:hint="default"/>
          <w:sz w:val="24"/>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vAlign w:val="top"/>
          </w:tcPr>
          <w:p w14:paraId="4F5AD559">
            <w:pPr>
              <w:pStyle w:val="29"/>
            </w:pPr>
            <w:r>
              <w:t>采购预算（实质性要求）</w:t>
            </w:r>
          </w:p>
        </w:tc>
        <w:tc>
          <w:tcPr>
            <w:tcW w:w="5184" w:type="dxa"/>
            <w:vAlign w:val="top"/>
          </w:tcPr>
          <w:p w14:paraId="682981FF">
            <w:pPr>
              <w:pStyle w:val="29"/>
            </w:pPr>
            <w:r>
              <w:t>本项目采购预算金额如下：</w:t>
            </w:r>
          </w:p>
          <w:p w14:paraId="0AE1719D">
            <w:pPr>
              <w:pStyle w:val="29"/>
            </w:pPr>
            <w:r>
              <w:rPr>
                <w:rFonts w:hint="eastAsia"/>
                <w:lang w:val="en-US" w:eastAsia="zh-CN"/>
              </w:rPr>
              <w:t>1600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vAlign w:val="top"/>
          </w:tcPr>
          <w:p w14:paraId="6185B780">
            <w:pPr>
              <w:pStyle w:val="29"/>
            </w:pPr>
            <w:r>
              <w:t>最高限价（实质性要求）</w:t>
            </w:r>
          </w:p>
        </w:tc>
        <w:tc>
          <w:tcPr>
            <w:tcW w:w="5184" w:type="dxa"/>
            <w:vAlign w:val="top"/>
          </w:tcPr>
          <w:p w14:paraId="5F5861FF">
            <w:pPr>
              <w:pStyle w:val="29"/>
            </w:pPr>
            <w:r>
              <w:t>本项目采购预算金额如下：</w:t>
            </w:r>
          </w:p>
          <w:p w14:paraId="7015443D">
            <w:pPr>
              <w:pStyle w:val="29"/>
            </w:pPr>
            <w:r>
              <w:rPr>
                <w:rFonts w:hint="eastAsia"/>
                <w:lang w:val="en-US" w:eastAsia="zh-CN"/>
              </w:rPr>
              <w:t>1600</w:t>
            </w:r>
            <w:r>
              <w:t>00.00元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w:t>
            </w:r>
            <w:r>
              <w:rPr>
                <w:rFonts w:hint="eastAsia" w:asciiTheme="minorHAnsi" w:hAnsiTheme="minorHAnsi" w:eastAsiaTheme="minorEastAsia" w:cstheme="minorBidi"/>
                <w:kern w:val="0"/>
                <w:sz w:val="20"/>
                <w:szCs w:val="20"/>
                <w:lang w:val="en-US" w:eastAsia="zh-CN"/>
              </w:rPr>
              <w:t>采购人院内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49348FD4">
      <w:pPr>
        <w:pStyle w:val="7"/>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3038"/>
      <w:bookmarkStart w:id="7" w:name="_Toc17067"/>
      <w:bookmarkStart w:id="8" w:name="_Toc24295"/>
      <w:bookmarkStart w:id="9" w:name="_Toc31240"/>
      <w:bookmarkStart w:id="10" w:name="_Toc15215"/>
      <w:r>
        <w:rPr>
          <w:rFonts w:hint="eastAsia" w:ascii="黑体"/>
          <w:bCs w:val="0"/>
        </w:rPr>
        <w:t>二、总  则</w:t>
      </w:r>
    </w:p>
    <w:p w14:paraId="74C36BB9">
      <w:pPr>
        <w:pStyle w:val="5"/>
        <w:keepNext w:val="0"/>
        <w:keepLines w:val="0"/>
        <w:spacing w:before="0" w:after="0" w:line="400" w:lineRule="exact"/>
        <w:ind w:firstLine="480" w:firstLineChars="200"/>
        <w:rPr>
          <w:rFonts w:hint="eastAsia" w:ascii="宋体" w:hAnsi="宋体"/>
          <w:sz w:val="24"/>
        </w:rPr>
      </w:pPr>
    </w:p>
    <w:p w14:paraId="1EAF8FC7">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5"/>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5"/>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，属于实质性参加政府采购活动的供应商。</w:t>
      </w:r>
    </w:p>
    <w:p w14:paraId="471C91CF">
      <w:pPr>
        <w:pStyle w:val="5"/>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5161E7E">
      <w:pPr>
        <w:pStyle w:val="23"/>
        <w:spacing w:line="400" w:lineRule="exact"/>
        <w:ind w:firstLine="480" w:firstLineChars="200"/>
        <w:rPr>
          <w:rFonts w:hint="default" w:hAnsi="宋体" w:eastAsia="宋体"/>
          <w:color w:val="FF0000"/>
          <w:sz w:val="24"/>
          <w:lang w:val="en-US" w:eastAsia="zh-CN"/>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5.8回避。政府采购活动中，采购人员及相关人员与供应商有下列利害关系之一的，应当回避：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（5）与供应商有其他可能影响政府采购活动公平、公正进行的关系。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本项目政府采购活动中需要依法回避的采购人员是指采购人内部负责采购项目的具体经办工作人员和直接</w:t>
      </w:r>
      <w:r>
        <w:rPr>
          <w:rFonts w:hint="eastAsia" w:hAnsi="宋体"/>
          <w:color w:val="auto"/>
          <w:sz w:val="24"/>
        </w:rPr>
        <w:t>分管采购项目的负责人。本项目政府采购活动中需要依法回避的相关人员是指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5"/>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5"/>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5"/>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w:t>
      </w:r>
      <w:r>
        <w:rPr>
          <w:rFonts w:hint="eastAsia" w:ascii="宋体" w:hAnsi="宋体" w:cs="宋体"/>
          <w:sz w:val="24"/>
          <w:lang w:eastAsia="zh-CN"/>
        </w:rPr>
        <w:t>五</w:t>
      </w:r>
      <w:r>
        <w:rPr>
          <w:rFonts w:hint="eastAsia" w:ascii="宋体" w:hAnsi="宋体" w:eastAsia="宋体" w:cs="宋体"/>
          <w:sz w:val="24"/>
        </w:rPr>
        <w:t>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4"/>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22.1成交通知书为签订政府采购合同的依据之一，是合同的有效组成部分。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（2）成交候选供应商因不可抗力，不能继续参加政府采购活动；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101338364"/>
      <w:bookmarkStart w:id="12" w:name="_Toc430773927"/>
      <w:bookmarkStart w:id="13" w:name="_Toc101174151"/>
      <w:bookmarkStart w:id="14" w:name="_Toc101250646"/>
      <w:bookmarkStart w:id="15" w:name="_Toc209847069"/>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成交供应商转包的，视同拒绝履行政府采购合同义务，将依法追究法律责任。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采购人将按照政府采购合同规定，及时向成交供应商支付采购资金。</w:t>
      </w: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（6）成交后无正当理由拒不与采购人签订政府采购合同；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确定的事项签订政府采购合同；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（8）将政府采购合同转包或者违规分包；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（10）擅自变更、中止或者终止政府采购合同；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w:t>
      </w:r>
      <w:r>
        <w:rPr>
          <w:rFonts w:hint="eastAsia" w:ascii="宋体" w:hAnsi="宋体" w:eastAsia="宋体" w:cs="Times New Roman"/>
          <w:b w:val="0"/>
          <w:bCs w:val="0"/>
          <w:sz w:val="24"/>
          <w:highlight w:val="none"/>
          <w:lang w:val="en-US" w:eastAsia="zh-CN"/>
        </w:rPr>
        <w:t>项目特殊资格要求</w:t>
      </w:r>
      <w:r>
        <w:rPr>
          <w:rFonts w:hint="eastAsia" w:ascii="宋体" w:hAnsi="宋体" w:eastAsia="宋体" w:cs="Times New Roman"/>
          <w:b w:val="0"/>
          <w:bCs w:val="0"/>
          <w:sz w:val="24"/>
          <w:lang w:val="en-US" w:eastAsia="zh-CN"/>
        </w:rPr>
        <w:t>：提供医疗器械生产或经营企业许可证明 (三类医疗器械提供《医疗器械经营许可证》,二类医疗器械提供《第二类医疗器械经营备案凭证》)复印件。经营或生产范围与投标产品类别一致。</w:t>
      </w:r>
    </w:p>
    <w:p w14:paraId="41FC2A9C">
      <w:pPr>
        <w:pStyle w:val="6"/>
        <w:spacing w:line="500" w:lineRule="exact"/>
        <w:ind w:firstLine="480" w:firstLineChars="200"/>
        <w:rPr>
          <w:rFonts w:hint="eastAsia" w:ascii="宋体" w:hAnsi="宋体" w:cs="宋体"/>
          <w:sz w:val="24"/>
          <w:szCs w:val="24"/>
        </w:rPr>
      </w:pPr>
    </w:p>
    <w:p w14:paraId="3F3D25DD">
      <w:pPr>
        <w:pStyle w:val="7"/>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582231"/>
      <w:bookmarkStart w:id="17" w:name="_Toc89075878"/>
      <w:bookmarkStart w:id="18" w:name="_Toc183682368"/>
      <w:bookmarkStart w:id="19" w:name="_Toc217446056"/>
      <w:bookmarkStart w:id="20" w:name="_Toc77400782"/>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129"/>
      <w:bookmarkStart w:id="22" w:name="_Toc22325"/>
      <w:bookmarkStart w:id="23" w:name="_Toc183682369"/>
      <w:bookmarkStart w:id="24" w:name="_Toc183582232"/>
      <w:bookmarkStart w:id="25" w:name="_Toc217446057"/>
      <w:r>
        <w:rPr>
          <w:rFonts w:hint="eastAsia" w:ascii="黑体" w:hAnsi="宋体" w:eastAsia="黑体"/>
          <w:b/>
          <w:sz w:val="32"/>
          <w:szCs w:val="32"/>
        </w:rPr>
        <w:t>采购项目技术、服务、政府采购合同内容条款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2323"/>
      <w:bookmarkStart w:id="27" w:name="_Toc31907"/>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347BD320">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bookmarkEnd w:id="26"/>
      <w:bookmarkEnd w:id="27"/>
      <w:bookmarkStart w:id="28" w:name="_Toc3397"/>
      <w:bookmarkStart w:id="29" w:name="_Toc27680"/>
      <w:r>
        <w:rPr>
          <w:sz w:val="24"/>
          <w:szCs w:val="32"/>
        </w:rPr>
        <w:t>邻水县人民医院拟对</w:t>
      </w:r>
      <w:r>
        <w:rPr>
          <w:rFonts w:hint="eastAsia" w:cs="Times New Roman"/>
          <w:sz w:val="24"/>
          <w:szCs w:val="32"/>
          <w:lang w:eastAsia="zh-CN"/>
        </w:rPr>
        <w:t>结肠水疗仪</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60E1A34C">
      <w:pPr>
        <w:numPr>
          <w:ilvl w:val="0"/>
          <w:numId w:val="0"/>
        </w:numPr>
        <w:spacing w:line="440" w:lineRule="exact"/>
        <w:ind w:firstLine="562" w:firstLineChars="200"/>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4"/>
        <w:gridCol w:w="3475"/>
        <w:gridCol w:w="1164"/>
        <w:gridCol w:w="1440"/>
        <w:gridCol w:w="1082"/>
      </w:tblGrid>
      <w:tr w14:paraId="1BE05E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04" w:type="dxa"/>
            <w:vAlign w:val="center"/>
          </w:tcPr>
          <w:p w14:paraId="3FC94F68">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475" w:type="dxa"/>
            <w:vAlign w:val="center"/>
          </w:tcPr>
          <w:p w14:paraId="5DA4803A">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164" w:type="dxa"/>
            <w:vAlign w:val="center"/>
          </w:tcPr>
          <w:p w14:paraId="5CCD3DA3">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440" w:type="dxa"/>
            <w:vAlign w:val="center"/>
          </w:tcPr>
          <w:p w14:paraId="048BF901">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082" w:type="dxa"/>
            <w:vAlign w:val="center"/>
          </w:tcPr>
          <w:p w14:paraId="0175EE46">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63E7DA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04" w:type="dxa"/>
            <w:vAlign w:val="center"/>
          </w:tcPr>
          <w:p w14:paraId="24C46B15">
            <w:pPr>
              <w:overflowPunct w:val="0"/>
              <w:adjustRightInd w:val="0"/>
              <w:snapToGrid w:val="0"/>
              <w:spacing w:line="580" w:lineRule="exact"/>
              <w:ind w:firstLine="280" w:firstLineChars="100"/>
              <w:rPr>
                <w:rFonts w:hint="eastAsia" w:asciiTheme="minorEastAsia" w:hAnsiTheme="minorEastAsia" w:eastAsiaTheme="minorEastAsia" w:cstheme="minorEastAsia"/>
                <w:sz w:val="24"/>
                <w:szCs w:val="24"/>
              </w:rPr>
            </w:pPr>
            <w:r>
              <w:rPr>
                <w:rFonts w:hint="eastAsia" w:ascii="宋体" w:hAnsi="宋体" w:cs="宋体"/>
                <w:color w:val="auto"/>
                <w:sz w:val="28"/>
                <w:szCs w:val="28"/>
                <w:lang w:val="en-US" w:eastAsia="zh-CN"/>
              </w:rPr>
              <w:t>1</w:t>
            </w:r>
          </w:p>
        </w:tc>
        <w:tc>
          <w:tcPr>
            <w:tcW w:w="3475" w:type="dxa"/>
            <w:vAlign w:val="center"/>
          </w:tcPr>
          <w:p w14:paraId="2DA204F4">
            <w:pPr>
              <w:adjustRightInd w:val="0"/>
              <w:snapToGrid w:val="0"/>
              <w:spacing w:line="400" w:lineRule="exact"/>
              <w:jc w:val="center"/>
              <w:rPr>
                <w:rFonts w:hint="eastAsia" w:asciiTheme="minorEastAsia" w:hAnsiTheme="minorEastAsia" w:eastAsiaTheme="minorEastAsia" w:cstheme="minorEastAsia"/>
                <w:kern w:val="0"/>
                <w:sz w:val="22"/>
                <w:szCs w:val="22"/>
                <w:lang w:val="en-US" w:eastAsia="zh-CN"/>
              </w:rPr>
            </w:pPr>
            <w:r>
              <w:rPr>
                <w:rFonts w:hint="eastAsia" w:ascii="宋体" w:hAnsi="宋体" w:cs="宋体"/>
                <w:color w:val="auto"/>
                <w:kern w:val="0"/>
                <w:sz w:val="24"/>
                <w:szCs w:val="24"/>
                <w:highlight w:val="none"/>
                <w:u w:val="none"/>
                <w:lang w:val="en-US" w:eastAsia="zh-CN"/>
              </w:rPr>
              <w:t>结肠水疗仪</w:t>
            </w:r>
          </w:p>
        </w:tc>
        <w:tc>
          <w:tcPr>
            <w:tcW w:w="1164" w:type="dxa"/>
            <w:vAlign w:val="center"/>
          </w:tcPr>
          <w:p w14:paraId="7C57371F">
            <w:pPr>
              <w:adjustRightInd w:val="0"/>
              <w:snapToGrid w:val="0"/>
              <w:spacing w:line="400" w:lineRule="exact"/>
              <w:jc w:val="center"/>
              <w:rPr>
                <w:rFonts w:hint="eastAsia" w:asciiTheme="minorEastAsia" w:hAnsiTheme="minorEastAsia" w:eastAsiaTheme="minorEastAsia" w:cstheme="minorEastAsia"/>
                <w:sz w:val="22"/>
                <w:szCs w:val="22"/>
                <w:lang w:val="en-US" w:eastAsia="zh-CN"/>
              </w:rPr>
            </w:pPr>
            <w:r>
              <w:rPr>
                <w:rFonts w:hint="eastAsia" w:ascii="宋体" w:hAnsi="宋体" w:cs="宋体"/>
                <w:b w:val="0"/>
                <w:bCs w:val="0"/>
                <w:color w:val="auto"/>
                <w:sz w:val="24"/>
                <w:szCs w:val="24"/>
                <w:lang w:val="en-US" w:eastAsia="zh-CN"/>
              </w:rPr>
              <w:t>台</w:t>
            </w:r>
          </w:p>
        </w:tc>
        <w:tc>
          <w:tcPr>
            <w:tcW w:w="1440" w:type="dxa"/>
            <w:tcBorders>
              <w:top w:val="single" w:color="auto" w:sz="4" w:space="0"/>
              <w:bottom w:val="single" w:color="auto" w:sz="4" w:space="0"/>
            </w:tcBorders>
            <w:vAlign w:val="center"/>
          </w:tcPr>
          <w:p w14:paraId="653E54DD">
            <w:pPr>
              <w:adjustRightInd w:val="0"/>
              <w:snapToGrid w:val="0"/>
              <w:spacing w:line="400" w:lineRule="exact"/>
              <w:jc w:val="center"/>
              <w:rPr>
                <w:rFonts w:hint="eastAsia" w:asciiTheme="minorEastAsia" w:hAnsiTheme="minorEastAsia" w:eastAsiaTheme="minorEastAsia" w:cstheme="minorEastAsia"/>
                <w:sz w:val="22"/>
                <w:szCs w:val="22"/>
                <w:lang w:eastAsia="zh-CN"/>
              </w:rPr>
            </w:pPr>
            <w:r>
              <w:rPr>
                <w:rFonts w:hint="eastAsia" w:ascii="宋体" w:hAnsi="宋体" w:cs="宋体"/>
                <w:color w:val="auto"/>
                <w:kern w:val="0"/>
                <w:sz w:val="24"/>
                <w:szCs w:val="24"/>
                <w:highlight w:val="none"/>
                <w:u w:val="none"/>
                <w:lang w:val="en-US" w:eastAsia="zh-CN"/>
              </w:rPr>
              <w:t>1</w:t>
            </w:r>
          </w:p>
        </w:tc>
        <w:tc>
          <w:tcPr>
            <w:tcW w:w="1082" w:type="dxa"/>
            <w:tcBorders>
              <w:top w:val="single" w:color="auto" w:sz="4" w:space="0"/>
              <w:bottom w:val="single" w:color="auto" w:sz="4" w:space="0"/>
            </w:tcBorders>
            <w:vAlign w:val="center"/>
          </w:tcPr>
          <w:p w14:paraId="1CFDF64B">
            <w:pPr>
              <w:pStyle w:val="29"/>
              <w:jc w:val="center"/>
              <w:rPr>
                <w:rFonts w:hint="eastAsia" w:asciiTheme="minorEastAsia" w:hAnsiTheme="minorEastAsia" w:eastAsiaTheme="minorEastAsia" w:cstheme="minorEastAsia"/>
                <w:sz w:val="22"/>
                <w:szCs w:val="22"/>
              </w:rPr>
            </w:pPr>
          </w:p>
        </w:tc>
      </w:tr>
    </w:tbl>
    <w:p w14:paraId="2AE89240">
      <w:pPr>
        <w:pStyle w:val="3"/>
        <w:spacing w:line="400" w:lineRule="exact"/>
        <w:ind w:firstLine="562" w:firstLineChars="200"/>
        <w:rPr>
          <w:rFonts w:hint="eastAsia" w:ascii="宋体" w:hAnsi="宋体"/>
          <w:b/>
          <w:bCs/>
          <w:color w:val="000000"/>
          <w:sz w:val="28"/>
          <w:szCs w:val="28"/>
        </w:rPr>
      </w:pP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r>
        <w:rPr>
          <w:rFonts w:hint="eastAsia" w:ascii="宋体" w:hAnsi="宋体" w:cs="宋体"/>
          <w:b w:val="0"/>
          <w:bCs w:val="0"/>
          <w:color w:val="FF0000"/>
          <w:kern w:val="2"/>
          <w:sz w:val="24"/>
          <w:szCs w:val="24"/>
          <w:lang w:val="en-US" w:eastAsia="zh-CN" w:bidi="ar-SA"/>
        </w:rPr>
        <w:t>（全部为实质性要求，不允许负偏离）</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8374"/>
      </w:tblGrid>
      <w:tr w14:paraId="633E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47" w:type="dxa"/>
            <w:noWrap w:val="0"/>
            <w:vAlign w:val="center"/>
          </w:tcPr>
          <w:p w14:paraId="37A9875D">
            <w:pPr>
              <w:spacing w:line="400" w:lineRule="exact"/>
              <w:jc w:val="center"/>
              <w:rPr>
                <w:rFonts w:hint="eastAsia" w:ascii="宋体"/>
                <w:b/>
                <w:sz w:val="18"/>
                <w:szCs w:val="18"/>
              </w:rPr>
            </w:pPr>
            <w:r>
              <w:rPr>
                <w:rFonts w:hint="eastAsia" w:ascii="宋体"/>
                <w:b/>
                <w:sz w:val="18"/>
                <w:szCs w:val="18"/>
              </w:rPr>
              <w:t>一</w:t>
            </w:r>
          </w:p>
        </w:tc>
        <w:tc>
          <w:tcPr>
            <w:tcW w:w="8374" w:type="dxa"/>
            <w:noWrap w:val="0"/>
            <w:vAlign w:val="top"/>
          </w:tcPr>
          <w:p w14:paraId="3917C50E">
            <w:pPr>
              <w:spacing w:line="400" w:lineRule="exact"/>
              <w:rPr>
                <w:rFonts w:hint="eastAsia" w:ascii="宋体"/>
                <w:b/>
                <w:sz w:val="18"/>
                <w:szCs w:val="18"/>
              </w:rPr>
            </w:pPr>
            <w:r>
              <w:rPr>
                <w:rFonts w:hint="eastAsia" w:ascii="宋体"/>
                <w:b/>
                <w:sz w:val="18"/>
                <w:szCs w:val="18"/>
              </w:rPr>
              <w:t>适应范围</w:t>
            </w:r>
          </w:p>
        </w:tc>
      </w:tr>
      <w:tr w14:paraId="7A7E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47" w:type="dxa"/>
            <w:noWrap w:val="0"/>
            <w:vAlign w:val="center"/>
          </w:tcPr>
          <w:p w14:paraId="446CC3FF">
            <w:pPr>
              <w:spacing w:line="360" w:lineRule="auto"/>
              <w:jc w:val="center"/>
              <w:rPr>
                <w:rFonts w:hint="eastAsia" w:ascii="宋体"/>
                <w:sz w:val="18"/>
                <w:szCs w:val="18"/>
              </w:rPr>
            </w:pPr>
            <w:r>
              <w:rPr>
                <w:rFonts w:hint="eastAsia" w:ascii="宋体"/>
                <w:sz w:val="18"/>
                <w:szCs w:val="18"/>
              </w:rPr>
              <w:t>1</w:t>
            </w:r>
          </w:p>
        </w:tc>
        <w:tc>
          <w:tcPr>
            <w:tcW w:w="8374" w:type="dxa"/>
            <w:noWrap w:val="0"/>
            <w:vAlign w:val="top"/>
          </w:tcPr>
          <w:p w14:paraId="134BA181">
            <w:pPr>
              <w:spacing w:line="360" w:lineRule="auto"/>
              <w:rPr>
                <w:rFonts w:hint="eastAsia" w:ascii="宋体"/>
                <w:b/>
                <w:sz w:val="18"/>
                <w:szCs w:val="18"/>
              </w:rPr>
            </w:pPr>
            <w:r>
              <w:rPr>
                <w:rFonts w:hint="eastAsia"/>
                <w:sz w:val="18"/>
                <w:szCs w:val="18"/>
              </w:rPr>
              <w:t>适用于习惯性便秘、慢性结肠炎的治疗以及手术、肠镜检查的准备处理。</w:t>
            </w:r>
          </w:p>
        </w:tc>
      </w:tr>
      <w:tr w14:paraId="771A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7C986FD7">
            <w:pPr>
              <w:spacing w:line="360" w:lineRule="auto"/>
              <w:jc w:val="center"/>
              <w:rPr>
                <w:rFonts w:hint="eastAsia" w:ascii="宋体"/>
                <w:bCs/>
                <w:sz w:val="18"/>
                <w:szCs w:val="18"/>
              </w:rPr>
            </w:pPr>
            <w:r>
              <w:rPr>
                <w:rFonts w:hint="eastAsia" w:ascii="宋体"/>
                <w:bCs/>
                <w:sz w:val="18"/>
                <w:szCs w:val="18"/>
              </w:rPr>
              <w:t>2</w:t>
            </w:r>
          </w:p>
        </w:tc>
        <w:tc>
          <w:tcPr>
            <w:tcW w:w="8374" w:type="dxa"/>
            <w:noWrap w:val="0"/>
            <w:vAlign w:val="top"/>
          </w:tcPr>
          <w:p w14:paraId="513C4141">
            <w:pPr>
              <w:rPr>
                <w:rFonts w:hint="eastAsia" w:ascii="宋体"/>
                <w:b/>
                <w:sz w:val="18"/>
                <w:szCs w:val="18"/>
              </w:rPr>
            </w:pPr>
            <w:r>
              <w:rPr>
                <w:rFonts w:hint="eastAsia" w:ascii="宋体"/>
                <w:bCs/>
                <w:sz w:val="18"/>
                <w:szCs w:val="18"/>
              </w:rPr>
              <w:t>作用机理：通过恒温、恒压冷热水处理后，将过滤后的水自动注入肠道进行清肠及实现保留灌肠，利用肠道粘膜的生物半透膜性，实现肠道透皮吸收。</w:t>
            </w:r>
          </w:p>
        </w:tc>
      </w:tr>
      <w:tr w14:paraId="1796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7787724B">
            <w:pPr>
              <w:spacing w:line="360" w:lineRule="auto"/>
              <w:jc w:val="center"/>
              <w:rPr>
                <w:rFonts w:hint="eastAsia"/>
                <w:b/>
                <w:bCs/>
                <w:sz w:val="18"/>
                <w:szCs w:val="18"/>
              </w:rPr>
            </w:pPr>
            <w:r>
              <w:rPr>
                <w:rFonts w:hint="eastAsia"/>
                <w:b/>
                <w:bCs/>
                <w:sz w:val="18"/>
                <w:szCs w:val="18"/>
              </w:rPr>
              <w:t>二</w:t>
            </w:r>
          </w:p>
        </w:tc>
        <w:tc>
          <w:tcPr>
            <w:tcW w:w="8374" w:type="dxa"/>
            <w:noWrap w:val="0"/>
            <w:vAlign w:val="center"/>
          </w:tcPr>
          <w:p w14:paraId="6E1AC437">
            <w:pPr>
              <w:spacing w:line="360" w:lineRule="auto"/>
              <w:rPr>
                <w:rFonts w:hint="eastAsia" w:ascii="宋体" w:hAnsi="宋体"/>
                <w:b/>
                <w:bCs/>
                <w:sz w:val="18"/>
                <w:szCs w:val="18"/>
              </w:rPr>
            </w:pPr>
            <w:r>
              <w:rPr>
                <w:rFonts w:hint="eastAsia" w:ascii="宋体" w:hAnsi="宋体"/>
                <w:b/>
                <w:bCs/>
                <w:sz w:val="18"/>
                <w:szCs w:val="18"/>
              </w:rPr>
              <w:t>功能要求</w:t>
            </w:r>
          </w:p>
        </w:tc>
      </w:tr>
      <w:tr w14:paraId="175E7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08FD7BD7">
            <w:pPr>
              <w:spacing w:line="360" w:lineRule="auto"/>
              <w:jc w:val="center"/>
              <w:rPr>
                <w:rFonts w:hint="eastAsia"/>
                <w:sz w:val="18"/>
                <w:szCs w:val="18"/>
              </w:rPr>
            </w:pPr>
            <w:r>
              <w:rPr>
                <w:rFonts w:hint="eastAsia"/>
                <w:sz w:val="18"/>
                <w:szCs w:val="18"/>
              </w:rPr>
              <w:t>1</w:t>
            </w:r>
          </w:p>
        </w:tc>
        <w:tc>
          <w:tcPr>
            <w:tcW w:w="8374" w:type="dxa"/>
            <w:noWrap w:val="0"/>
            <w:vAlign w:val="center"/>
          </w:tcPr>
          <w:p w14:paraId="3F12D5A5">
            <w:pPr>
              <w:spacing w:line="360" w:lineRule="auto"/>
              <w:rPr>
                <w:rFonts w:hint="eastAsia"/>
                <w:sz w:val="18"/>
                <w:szCs w:val="18"/>
              </w:rPr>
            </w:pPr>
            <w:r>
              <w:rPr>
                <w:rFonts w:hint="eastAsia"/>
                <w:sz w:val="18"/>
                <w:szCs w:val="18"/>
              </w:rPr>
              <w:t>高精度冷暖进水过滤功能：采用反渗透净化装置</w:t>
            </w:r>
          </w:p>
        </w:tc>
      </w:tr>
      <w:tr w14:paraId="1DA0B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0C6D5D4A">
            <w:pPr>
              <w:spacing w:line="360" w:lineRule="auto"/>
              <w:jc w:val="center"/>
              <w:rPr>
                <w:rFonts w:hint="eastAsia"/>
                <w:sz w:val="18"/>
                <w:szCs w:val="18"/>
              </w:rPr>
            </w:pPr>
            <w:r>
              <w:rPr>
                <w:rFonts w:hint="eastAsia"/>
                <w:sz w:val="18"/>
                <w:szCs w:val="18"/>
              </w:rPr>
              <w:t>2</w:t>
            </w:r>
          </w:p>
        </w:tc>
        <w:tc>
          <w:tcPr>
            <w:tcW w:w="8374" w:type="dxa"/>
            <w:noWrap w:val="0"/>
            <w:vAlign w:val="center"/>
          </w:tcPr>
          <w:p w14:paraId="1D8D4E07">
            <w:pPr>
              <w:spacing w:line="360" w:lineRule="auto"/>
              <w:rPr>
                <w:rFonts w:hint="eastAsia"/>
                <w:sz w:val="18"/>
                <w:szCs w:val="18"/>
              </w:rPr>
            </w:pPr>
            <w:r>
              <w:rPr>
                <w:rFonts w:hint="eastAsia" w:ascii="宋体"/>
                <w:sz w:val="18"/>
                <w:szCs w:val="18"/>
              </w:rPr>
              <w:t>药液加注功能：通过药液加注口进行药液加注，</w:t>
            </w:r>
            <w:r>
              <w:rPr>
                <w:rFonts w:hint="eastAsia"/>
                <w:sz w:val="18"/>
                <w:szCs w:val="18"/>
              </w:rPr>
              <w:t>利用肠道粘膜的生物半透膜性、实现透皮吸收。</w:t>
            </w:r>
          </w:p>
        </w:tc>
      </w:tr>
      <w:tr w14:paraId="4C494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7EC597F9">
            <w:pPr>
              <w:spacing w:line="360" w:lineRule="auto"/>
              <w:jc w:val="center"/>
              <w:rPr>
                <w:rFonts w:hint="eastAsia"/>
                <w:sz w:val="18"/>
                <w:szCs w:val="18"/>
              </w:rPr>
            </w:pPr>
            <w:r>
              <w:rPr>
                <w:rFonts w:hint="eastAsia"/>
                <w:sz w:val="18"/>
                <w:szCs w:val="18"/>
              </w:rPr>
              <w:t>3</w:t>
            </w:r>
          </w:p>
        </w:tc>
        <w:tc>
          <w:tcPr>
            <w:tcW w:w="8374" w:type="dxa"/>
            <w:noWrap w:val="0"/>
            <w:vAlign w:val="center"/>
          </w:tcPr>
          <w:p w14:paraId="3247056E">
            <w:pPr>
              <w:spacing w:line="360" w:lineRule="auto"/>
              <w:rPr>
                <w:rFonts w:hint="eastAsia"/>
                <w:sz w:val="18"/>
                <w:szCs w:val="18"/>
              </w:rPr>
            </w:pPr>
            <w:r>
              <w:rPr>
                <w:rFonts w:hint="eastAsia"/>
                <w:sz w:val="18"/>
                <w:szCs w:val="18"/>
              </w:rPr>
              <w:t>流量阀控制功能：可进行小量大小调节</w:t>
            </w:r>
          </w:p>
        </w:tc>
      </w:tr>
      <w:tr w14:paraId="59C4A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4E7B03D7">
            <w:pPr>
              <w:spacing w:line="360" w:lineRule="auto"/>
              <w:jc w:val="center"/>
              <w:rPr>
                <w:rFonts w:hint="eastAsia"/>
                <w:sz w:val="18"/>
                <w:szCs w:val="18"/>
              </w:rPr>
            </w:pPr>
            <w:r>
              <w:rPr>
                <w:rFonts w:hint="eastAsia"/>
                <w:sz w:val="18"/>
                <w:szCs w:val="18"/>
              </w:rPr>
              <w:t>4</w:t>
            </w:r>
          </w:p>
        </w:tc>
        <w:tc>
          <w:tcPr>
            <w:tcW w:w="8374" w:type="dxa"/>
            <w:noWrap w:val="0"/>
            <w:vAlign w:val="center"/>
          </w:tcPr>
          <w:p w14:paraId="3853B962">
            <w:pPr>
              <w:spacing w:line="360" w:lineRule="auto"/>
              <w:rPr>
                <w:rFonts w:hint="eastAsia"/>
                <w:sz w:val="18"/>
                <w:szCs w:val="18"/>
              </w:rPr>
            </w:pPr>
            <w:r>
              <w:rPr>
                <w:rFonts w:hint="eastAsia" w:ascii="宋体"/>
                <w:color w:val="000000"/>
                <w:sz w:val="18"/>
                <w:szCs w:val="18"/>
              </w:rPr>
              <w:t>温控阀控制功能：可对进水温度的大小进行调节</w:t>
            </w:r>
          </w:p>
        </w:tc>
      </w:tr>
      <w:tr w14:paraId="357E6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5A025660">
            <w:pPr>
              <w:spacing w:line="360" w:lineRule="auto"/>
              <w:jc w:val="center"/>
              <w:rPr>
                <w:rFonts w:hint="eastAsia"/>
                <w:sz w:val="18"/>
                <w:szCs w:val="18"/>
              </w:rPr>
            </w:pPr>
            <w:r>
              <w:rPr>
                <w:rFonts w:hint="eastAsia"/>
                <w:sz w:val="18"/>
                <w:szCs w:val="18"/>
              </w:rPr>
              <w:t>5</w:t>
            </w:r>
          </w:p>
        </w:tc>
        <w:tc>
          <w:tcPr>
            <w:tcW w:w="8374" w:type="dxa"/>
            <w:noWrap w:val="0"/>
            <w:vAlign w:val="center"/>
          </w:tcPr>
          <w:p w14:paraId="2188E174">
            <w:pPr>
              <w:spacing w:line="360" w:lineRule="auto"/>
              <w:rPr>
                <w:rFonts w:hint="eastAsia"/>
                <w:sz w:val="18"/>
                <w:szCs w:val="18"/>
              </w:rPr>
            </w:pPr>
            <w:r>
              <w:rPr>
                <w:rFonts w:hint="eastAsia"/>
                <w:sz w:val="18"/>
                <w:szCs w:val="18"/>
              </w:rPr>
              <w:t>压力显示功能：实时监测肠疗者的肠内压力</w:t>
            </w:r>
          </w:p>
        </w:tc>
      </w:tr>
      <w:tr w14:paraId="6D04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304ADEBF">
            <w:pPr>
              <w:spacing w:line="360" w:lineRule="auto"/>
              <w:jc w:val="center"/>
              <w:rPr>
                <w:rFonts w:hint="eastAsia"/>
                <w:sz w:val="18"/>
                <w:szCs w:val="18"/>
              </w:rPr>
            </w:pPr>
            <w:r>
              <w:rPr>
                <w:rFonts w:hint="eastAsia"/>
                <w:sz w:val="18"/>
                <w:szCs w:val="18"/>
              </w:rPr>
              <w:t>6</w:t>
            </w:r>
          </w:p>
        </w:tc>
        <w:tc>
          <w:tcPr>
            <w:tcW w:w="8374" w:type="dxa"/>
            <w:noWrap w:val="0"/>
            <w:vAlign w:val="center"/>
          </w:tcPr>
          <w:p w14:paraId="0DE2070F">
            <w:pPr>
              <w:spacing w:line="360" w:lineRule="auto"/>
              <w:rPr>
                <w:rFonts w:hint="eastAsia"/>
                <w:sz w:val="18"/>
                <w:szCs w:val="18"/>
              </w:rPr>
            </w:pPr>
            <w:r>
              <w:rPr>
                <w:rFonts w:hint="eastAsia"/>
                <w:sz w:val="18"/>
                <w:szCs w:val="18"/>
              </w:rPr>
              <w:t>观察窗功能：可直接肉眼观察肠道排出的污物</w:t>
            </w:r>
          </w:p>
        </w:tc>
      </w:tr>
      <w:tr w14:paraId="643D1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6347CC27">
            <w:pPr>
              <w:spacing w:line="360" w:lineRule="auto"/>
              <w:jc w:val="center"/>
              <w:rPr>
                <w:rFonts w:hint="eastAsia"/>
                <w:sz w:val="18"/>
                <w:szCs w:val="18"/>
              </w:rPr>
            </w:pPr>
            <w:r>
              <w:rPr>
                <w:rFonts w:hint="eastAsia"/>
                <w:sz w:val="18"/>
                <w:szCs w:val="18"/>
              </w:rPr>
              <w:t>7</w:t>
            </w:r>
          </w:p>
        </w:tc>
        <w:tc>
          <w:tcPr>
            <w:tcW w:w="8374" w:type="dxa"/>
            <w:noWrap w:val="0"/>
            <w:vAlign w:val="center"/>
          </w:tcPr>
          <w:p w14:paraId="2DFD72B5">
            <w:pPr>
              <w:spacing w:line="360" w:lineRule="auto"/>
              <w:rPr>
                <w:rFonts w:hint="eastAsia"/>
                <w:sz w:val="18"/>
                <w:szCs w:val="18"/>
              </w:rPr>
            </w:pPr>
            <w:r>
              <w:rPr>
                <w:rFonts w:hint="eastAsia"/>
                <w:sz w:val="18"/>
                <w:szCs w:val="18"/>
              </w:rPr>
              <w:t>温度显示功能：实时监测肠疗液体温度</w:t>
            </w:r>
          </w:p>
        </w:tc>
      </w:tr>
      <w:tr w14:paraId="235F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74346720">
            <w:pPr>
              <w:spacing w:line="360" w:lineRule="auto"/>
              <w:jc w:val="center"/>
              <w:rPr>
                <w:rFonts w:hint="eastAsia"/>
                <w:sz w:val="18"/>
                <w:szCs w:val="18"/>
              </w:rPr>
            </w:pPr>
            <w:r>
              <w:rPr>
                <w:rFonts w:hint="eastAsia"/>
                <w:sz w:val="18"/>
                <w:szCs w:val="18"/>
              </w:rPr>
              <w:t>8</w:t>
            </w:r>
          </w:p>
        </w:tc>
        <w:tc>
          <w:tcPr>
            <w:tcW w:w="8374" w:type="dxa"/>
            <w:noWrap w:val="0"/>
            <w:vAlign w:val="center"/>
          </w:tcPr>
          <w:p w14:paraId="3B643B81">
            <w:pPr>
              <w:spacing w:line="360" w:lineRule="auto"/>
              <w:rPr>
                <w:rFonts w:hint="eastAsia"/>
                <w:sz w:val="18"/>
                <w:szCs w:val="18"/>
              </w:rPr>
            </w:pPr>
            <w:r>
              <w:rPr>
                <w:rFonts w:hint="eastAsia"/>
                <w:sz w:val="18"/>
                <w:szCs w:val="18"/>
              </w:rPr>
              <w:t>时间显示功能：实时显示肠疗时间</w:t>
            </w:r>
          </w:p>
        </w:tc>
      </w:tr>
      <w:tr w14:paraId="1089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2F2B1789">
            <w:pPr>
              <w:spacing w:line="360" w:lineRule="auto"/>
              <w:jc w:val="center"/>
              <w:rPr>
                <w:rFonts w:hint="eastAsia"/>
                <w:sz w:val="18"/>
                <w:szCs w:val="18"/>
              </w:rPr>
            </w:pPr>
            <w:r>
              <w:rPr>
                <w:rFonts w:hint="eastAsia"/>
                <w:sz w:val="18"/>
                <w:szCs w:val="18"/>
              </w:rPr>
              <w:t>9</w:t>
            </w:r>
          </w:p>
        </w:tc>
        <w:tc>
          <w:tcPr>
            <w:tcW w:w="8374" w:type="dxa"/>
            <w:noWrap w:val="0"/>
            <w:vAlign w:val="center"/>
          </w:tcPr>
          <w:p w14:paraId="2957B8E8">
            <w:pPr>
              <w:spacing w:line="360" w:lineRule="auto"/>
              <w:rPr>
                <w:rFonts w:hint="eastAsia"/>
                <w:sz w:val="18"/>
                <w:szCs w:val="18"/>
              </w:rPr>
            </w:pPr>
            <w:r>
              <w:rPr>
                <w:rFonts w:hint="eastAsia" w:hAnsi="宋体"/>
                <w:color w:val="000000"/>
                <w:spacing w:val="20"/>
                <w:sz w:val="18"/>
                <w:szCs w:val="18"/>
              </w:rPr>
              <w:t>排放控制阀：阀式排放装置</w:t>
            </w:r>
          </w:p>
        </w:tc>
      </w:tr>
      <w:tr w14:paraId="2A38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647" w:type="dxa"/>
            <w:noWrap w:val="0"/>
            <w:vAlign w:val="center"/>
          </w:tcPr>
          <w:p w14:paraId="21082A97">
            <w:pPr>
              <w:spacing w:line="360" w:lineRule="auto"/>
              <w:jc w:val="center"/>
              <w:rPr>
                <w:rFonts w:hint="eastAsia"/>
                <w:sz w:val="18"/>
                <w:szCs w:val="18"/>
              </w:rPr>
            </w:pPr>
            <w:r>
              <w:rPr>
                <w:rFonts w:hint="eastAsia"/>
                <w:sz w:val="18"/>
                <w:szCs w:val="18"/>
              </w:rPr>
              <w:t>10</w:t>
            </w:r>
          </w:p>
        </w:tc>
        <w:tc>
          <w:tcPr>
            <w:tcW w:w="8374" w:type="dxa"/>
            <w:noWrap w:val="0"/>
            <w:vAlign w:val="center"/>
          </w:tcPr>
          <w:p w14:paraId="4D9BEAC0">
            <w:pPr>
              <w:spacing w:line="360" w:lineRule="auto"/>
              <w:rPr>
                <w:rFonts w:hint="eastAsia"/>
                <w:sz w:val="18"/>
                <w:szCs w:val="18"/>
              </w:rPr>
            </w:pPr>
            <w:r>
              <w:rPr>
                <w:rFonts w:hint="eastAsia" w:ascii="宋体"/>
                <w:color w:val="000000"/>
                <w:sz w:val="18"/>
                <w:szCs w:val="18"/>
              </w:rPr>
              <w:t>一键式开机准备功能：治疗前，设备自动完成准备工作</w:t>
            </w:r>
          </w:p>
        </w:tc>
      </w:tr>
      <w:tr w14:paraId="1A76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647" w:type="dxa"/>
            <w:noWrap w:val="0"/>
            <w:vAlign w:val="center"/>
          </w:tcPr>
          <w:p w14:paraId="68BFE0AE">
            <w:pPr>
              <w:spacing w:line="360" w:lineRule="auto"/>
              <w:jc w:val="center"/>
              <w:rPr>
                <w:rFonts w:hint="eastAsia" w:ascii="宋体"/>
                <w:b/>
                <w:sz w:val="18"/>
                <w:szCs w:val="18"/>
              </w:rPr>
            </w:pPr>
            <w:r>
              <w:rPr>
                <w:rFonts w:hint="eastAsia" w:ascii="宋体"/>
                <w:b/>
                <w:sz w:val="18"/>
                <w:szCs w:val="18"/>
              </w:rPr>
              <w:t>三</w:t>
            </w:r>
          </w:p>
        </w:tc>
        <w:tc>
          <w:tcPr>
            <w:tcW w:w="8374" w:type="dxa"/>
            <w:noWrap w:val="0"/>
            <w:vAlign w:val="top"/>
          </w:tcPr>
          <w:p w14:paraId="17506F69">
            <w:pPr>
              <w:spacing w:line="360" w:lineRule="auto"/>
              <w:rPr>
                <w:rFonts w:hint="eastAsia" w:ascii="宋体"/>
                <w:b/>
                <w:sz w:val="18"/>
                <w:szCs w:val="18"/>
              </w:rPr>
            </w:pPr>
            <w:r>
              <w:rPr>
                <w:rFonts w:hint="eastAsia" w:ascii="宋体"/>
                <w:b/>
                <w:sz w:val="18"/>
                <w:szCs w:val="18"/>
              </w:rPr>
              <w:t>设备技术要求：</w:t>
            </w:r>
          </w:p>
        </w:tc>
      </w:tr>
      <w:tr w14:paraId="1ED5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7" w:type="dxa"/>
            <w:noWrap w:val="0"/>
            <w:vAlign w:val="center"/>
          </w:tcPr>
          <w:p w14:paraId="78716A84">
            <w:pPr>
              <w:spacing w:line="360" w:lineRule="auto"/>
              <w:jc w:val="center"/>
              <w:rPr>
                <w:rFonts w:hint="eastAsia"/>
                <w:sz w:val="18"/>
                <w:szCs w:val="18"/>
              </w:rPr>
            </w:pPr>
            <w:r>
              <w:rPr>
                <w:rFonts w:hint="eastAsia"/>
                <w:sz w:val="18"/>
                <w:szCs w:val="18"/>
              </w:rPr>
              <w:t>1</w:t>
            </w:r>
          </w:p>
        </w:tc>
        <w:tc>
          <w:tcPr>
            <w:tcW w:w="8374" w:type="dxa"/>
            <w:noWrap w:val="0"/>
            <w:vAlign w:val="center"/>
          </w:tcPr>
          <w:p w14:paraId="2E1FFC19">
            <w:pPr>
              <w:spacing w:line="360" w:lineRule="auto"/>
              <w:rPr>
                <w:rFonts w:hint="eastAsia" w:ascii="宋体"/>
                <w:sz w:val="18"/>
                <w:szCs w:val="18"/>
              </w:rPr>
            </w:pPr>
            <w:r>
              <w:rPr>
                <w:rFonts w:hint="eastAsia" w:ascii="宋体" w:hAnsi="宋体"/>
                <w:sz w:val="18"/>
                <w:szCs w:val="18"/>
              </w:rPr>
              <w:t>温控仪测量范围：0℃</w:t>
            </w:r>
            <w:r>
              <w:rPr>
                <w:rFonts w:ascii="宋体" w:hAnsi="宋体"/>
                <w:sz w:val="18"/>
                <w:szCs w:val="18"/>
              </w:rPr>
              <w:t>～</w:t>
            </w:r>
            <w:r>
              <w:rPr>
                <w:rFonts w:hint="eastAsia" w:ascii="宋体" w:hAnsi="宋体"/>
                <w:sz w:val="18"/>
                <w:szCs w:val="18"/>
              </w:rPr>
              <w:t>5</w:t>
            </w:r>
            <w:r>
              <w:rPr>
                <w:rFonts w:ascii="宋体" w:hAnsi="宋体"/>
                <w:sz w:val="18"/>
                <w:szCs w:val="18"/>
              </w:rPr>
              <w:t>0</w:t>
            </w:r>
            <w:r>
              <w:rPr>
                <w:rFonts w:hint="eastAsia" w:ascii="宋体" w:hAnsi="宋体"/>
                <w:sz w:val="18"/>
                <w:szCs w:val="18"/>
              </w:rPr>
              <w:t xml:space="preserve">℃,温控仪调节范围：26℃-39℃  </w:t>
            </w:r>
          </w:p>
        </w:tc>
      </w:tr>
      <w:tr w14:paraId="02A0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2C64103A">
            <w:pPr>
              <w:spacing w:line="360" w:lineRule="auto"/>
              <w:jc w:val="center"/>
              <w:rPr>
                <w:rFonts w:hint="eastAsia"/>
                <w:sz w:val="18"/>
                <w:szCs w:val="18"/>
              </w:rPr>
            </w:pPr>
            <w:r>
              <w:rPr>
                <w:rFonts w:hint="eastAsia"/>
                <w:sz w:val="18"/>
                <w:szCs w:val="18"/>
              </w:rPr>
              <w:t>2</w:t>
            </w:r>
          </w:p>
        </w:tc>
        <w:tc>
          <w:tcPr>
            <w:tcW w:w="8374" w:type="dxa"/>
            <w:noWrap w:val="0"/>
            <w:vAlign w:val="center"/>
          </w:tcPr>
          <w:p w14:paraId="4A9CDC8F">
            <w:pPr>
              <w:spacing w:line="360" w:lineRule="auto"/>
              <w:rPr>
                <w:rFonts w:hint="eastAsia"/>
                <w:sz w:val="18"/>
                <w:szCs w:val="18"/>
              </w:rPr>
            </w:pPr>
            <w:r>
              <w:rPr>
                <w:rFonts w:hint="eastAsia" w:ascii="宋体" w:hAnsi="宋体"/>
                <w:color w:val="000000"/>
                <w:sz w:val="18"/>
                <w:szCs w:val="18"/>
              </w:rPr>
              <w:t>压力表设置范围：0KP</w:t>
            </w:r>
            <w:r>
              <w:rPr>
                <w:rFonts w:ascii="宋体" w:hAnsi="宋体"/>
                <w:color w:val="000000"/>
                <w:sz w:val="18"/>
                <w:szCs w:val="18"/>
              </w:rPr>
              <w:t>a～</w:t>
            </w:r>
            <w:r>
              <w:rPr>
                <w:rFonts w:hint="eastAsia" w:ascii="宋体" w:hAnsi="宋体"/>
                <w:color w:val="000000"/>
                <w:sz w:val="18"/>
                <w:szCs w:val="18"/>
              </w:rPr>
              <w:t>5</w:t>
            </w:r>
            <w:r>
              <w:rPr>
                <w:rFonts w:ascii="宋体" w:hAnsi="宋体"/>
                <w:color w:val="000000"/>
                <w:sz w:val="18"/>
                <w:szCs w:val="18"/>
              </w:rPr>
              <w:t>0K</w:t>
            </w:r>
            <w:r>
              <w:rPr>
                <w:rFonts w:hint="eastAsia" w:ascii="宋体" w:hAnsi="宋体"/>
                <w:color w:val="000000"/>
                <w:sz w:val="18"/>
                <w:szCs w:val="18"/>
              </w:rPr>
              <w:t>P</w:t>
            </w:r>
            <w:r>
              <w:rPr>
                <w:rFonts w:ascii="宋体" w:hAnsi="宋体"/>
                <w:color w:val="000000"/>
                <w:sz w:val="18"/>
                <w:szCs w:val="18"/>
              </w:rPr>
              <w:t>a</w:t>
            </w:r>
            <w:r>
              <w:rPr>
                <w:rFonts w:hint="eastAsia" w:ascii="宋体" w:hAnsi="宋体"/>
                <w:color w:val="000000"/>
                <w:sz w:val="18"/>
                <w:szCs w:val="18"/>
              </w:rPr>
              <w:t>，压力表测量范围：0KP</w:t>
            </w:r>
            <w:r>
              <w:rPr>
                <w:rFonts w:ascii="宋体" w:hAnsi="宋体"/>
                <w:color w:val="000000"/>
                <w:sz w:val="18"/>
                <w:szCs w:val="18"/>
              </w:rPr>
              <w:t>a～</w:t>
            </w:r>
            <w:r>
              <w:rPr>
                <w:rFonts w:hint="eastAsia" w:ascii="宋体" w:hAnsi="宋体"/>
                <w:color w:val="000000"/>
                <w:sz w:val="18"/>
                <w:szCs w:val="18"/>
              </w:rPr>
              <w:t>20</w:t>
            </w:r>
            <w:r>
              <w:rPr>
                <w:rFonts w:ascii="宋体" w:hAnsi="宋体"/>
                <w:color w:val="000000"/>
                <w:sz w:val="18"/>
                <w:szCs w:val="18"/>
              </w:rPr>
              <w:t>K</w:t>
            </w:r>
            <w:r>
              <w:rPr>
                <w:rFonts w:hint="eastAsia" w:ascii="宋体" w:hAnsi="宋体"/>
                <w:color w:val="000000"/>
                <w:sz w:val="18"/>
                <w:szCs w:val="18"/>
              </w:rPr>
              <w:t>P</w:t>
            </w:r>
            <w:r>
              <w:rPr>
                <w:rFonts w:ascii="宋体" w:hAnsi="宋体"/>
                <w:color w:val="000000"/>
                <w:sz w:val="18"/>
                <w:szCs w:val="18"/>
              </w:rPr>
              <w:t>a</w:t>
            </w:r>
          </w:p>
        </w:tc>
      </w:tr>
      <w:tr w14:paraId="2731D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523AF7C1">
            <w:pPr>
              <w:spacing w:line="360" w:lineRule="auto"/>
              <w:jc w:val="center"/>
              <w:rPr>
                <w:rFonts w:hint="eastAsia"/>
                <w:sz w:val="18"/>
                <w:szCs w:val="18"/>
              </w:rPr>
            </w:pPr>
            <w:r>
              <w:rPr>
                <w:rFonts w:hint="eastAsia"/>
                <w:sz w:val="18"/>
                <w:szCs w:val="18"/>
              </w:rPr>
              <w:t>3</w:t>
            </w:r>
          </w:p>
        </w:tc>
        <w:tc>
          <w:tcPr>
            <w:tcW w:w="8374" w:type="dxa"/>
            <w:noWrap w:val="0"/>
            <w:vAlign w:val="center"/>
          </w:tcPr>
          <w:p w14:paraId="14B79023">
            <w:pPr>
              <w:spacing w:line="360" w:lineRule="auto"/>
              <w:rPr>
                <w:rFonts w:hint="eastAsia"/>
                <w:sz w:val="18"/>
                <w:szCs w:val="18"/>
              </w:rPr>
            </w:pPr>
            <w:r>
              <w:rPr>
                <w:rFonts w:hint="eastAsia"/>
                <w:sz w:val="18"/>
                <w:szCs w:val="18"/>
              </w:rPr>
              <w:t>当加注药瓶压力达到40±5KPa时，药液加注应停止。</w:t>
            </w:r>
          </w:p>
        </w:tc>
      </w:tr>
      <w:tr w14:paraId="2ED4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3279AEBE">
            <w:pPr>
              <w:spacing w:line="360" w:lineRule="auto"/>
              <w:jc w:val="center"/>
              <w:rPr>
                <w:sz w:val="18"/>
                <w:szCs w:val="18"/>
              </w:rPr>
            </w:pPr>
            <w:r>
              <w:rPr>
                <w:rFonts w:hint="eastAsia"/>
                <w:sz w:val="18"/>
                <w:szCs w:val="18"/>
              </w:rPr>
              <w:t>4</w:t>
            </w:r>
          </w:p>
        </w:tc>
        <w:tc>
          <w:tcPr>
            <w:tcW w:w="8374" w:type="dxa"/>
            <w:noWrap w:val="0"/>
            <w:vAlign w:val="center"/>
          </w:tcPr>
          <w:p w14:paraId="34C135B4">
            <w:pPr>
              <w:spacing w:line="360" w:lineRule="auto"/>
              <w:rPr>
                <w:rFonts w:hint="eastAsia"/>
                <w:sz w:val="18"/>
                <w:szCs w:val="18"/>
              </w:rPr>
            </w:pPr>
            <w:r>
              <w:rPr>
                <w:rFonts w:hint="eastAsia" w:ascii="宋体" w:hAnsi="宋体"/>
                <w:sz w:val="18"/>
                <w:szCs w:val="18"/>
              </w:rPr>
              <w:t>水压达到</w:t>
            </w:r>
            <w:r>
              <w:rPr>
                <w:rFonts w:ascii="Arial" w:hAnsi="Arial" w:cs="Arial"/>
                <w:sz w:val="18"/>
                <w:szCs w:val="18"/>
              </w:rPr>
              <w:t>≥</w:t>
            </w:r>
            <w:r>
              <w:rPr>
                <w:rFonts w:hint="eastAsia" w:ascii="宋体" w:hAnsi="宋体"/>
                <w:sz w:val="18"/>
                <w:szCs w:val="18"/>
              </w:rPr>
              <w:t>10KP</w:t>
            </w:r>
            <w:r>
              <w:rPr>
                <w:rFonts w:ascii="宋体" w:hAnsi="宋体"/>
                <w:sz w:val="18"/>
                <w:szCs w:val="18"/>
              </w:rPr>
              <w:t>a</w:t>
            </w:r>
            <w:r>
              <w:rPr>
                <w:rFonts w:hint="eastAsia" w:ascii="宋体" w:hAnsi="宋体"/>
                <w:sz w:val="18"/>
                <w:szCs w:val="18"/>
              </w:rPr>
              <w:t>时，设备进水指示灯应熄灭，进水阀关闭，确保使用安全。</w:t>
            </w:r>
          </w:p>
        </w:tc>
      </w:tr>
      <w:tr w14:paraId="1A2C2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5FD1B938">
            <w:pPr>
              <w:spacing w:line="360" w:lineRule="auto"/>
              <w:jc w:val="center"/>
              <w:rPr>
                <w:rFonts w:hint="eastAsia"/>
                <w:sz w:val="18"/>
                <w:szCs w:val="18"/>
              </w:rPr>
            </w:pPr>
            <w:r>
              <w:rPr>
                <w:rFonts w:hint="eastAsia"/>
                <w:sz w:val="18"/>
                <w:szCs w:val="18"/>
              </w:rPr>
              <w:t>5</w:t>
            </w:r>
          </w:p>
        </w:tc>
        <w:tc>
          <w:tcPr>
            <w:tcW w:w="8374" w:type="dxa"/>
            <w:noWrap w:val="0"/>
            <w:vAlign w:val="center"/>
          </w:tcPr>
          <w:p w14:paraId="4298F298">
            <w:pPr>
              <w:spacing w:line="360" w:lineRule="auto"/>
              <w:rPr>
                <w:rFonts w:hint="eastAsia"/>
                <w:sz w:val="18"/>
                <w:szCs w:val="18"/>
              </w:rPr>
            </w:pPr>
            <w:r>
              <w:rPr>
                <w:rFonts w:hint="eastAsia" w:ascii="宋体" w:hAnsi="宋体"/>
                <w:sz w:val="18"/>
                <w:szCs w:val="18"/>
              </w:rPr>
              <w:t>使用过程中，当水的温度</w:t>
            </w:r>
            <w:r>
              <w:rPr>
                <w:rFonts w:ascii="Arial" w:hAnsi="Arial" w:cs="Arial"/>
                <w:sz w:val="18"/>
                <w:szCs w:val="18"/>
              </w:rPr>
              <w:t>≥</w:t>
            </w:r>
            <w:r>
              <w:rPr>
                <w:rFonts w:hint="eastAsia" w:ascii="宋体" w:hAnsi="宋体"/>
                <w:sz w:val="18"/>
                <w:szCs w:val="18"/>
              </w:rPr>
              <w:t>39℃时，进水指示灯应熄灭，进水阀关闭。</w:t>
            </w:r>
          </w:p>
        </w:tc>
      </w:tr>
      <w:tr w14:paraId="6C46A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5C02FDBD">
            <w:pPr>
              <w:spacing w:line="360" w:lineRule="auto"/>
              <w:jc w:val="center"/>
              <w:rPr>
                <w:rFonts w:hint="eastAsia"/>
                <w:sz w:val="18"/>
                <w:szCs w:val="18"/>
              </w:rPr>
            </w:pPr>
            <w:r>
              <w:rPr>
                <w:rFonts w:hint="eastAsia"/>
                <w:sz w:val="18"/>
                <w:szCs w:val="18"/>
              </w:rPr>
              <w:t>6</w:t>
            </w:r>
          </w:p>
        </w:tc>
        <w:tc>
          <w:tcPr>
            <w:tcW w:w="8374" w:type="dxa"/>
            <w:noWrap w:val="0"/>
            <w:vAlign w:val="center"/>
          </w:tcPr>
          <w:p w14:paraId="326F7157">
            <w:pPr>
              <w:spacing w:line="360" w:lineRule="auto"/>
              <w:rPr>
                <w:rFonts w:hint="eastAsia"/>
                <w:sz w:val="18"/>
                <w:szCs w:val="18"/>
              </w:rPr>
            </w:pPr>
            <w:r>
              <w:rPr>
                <w:rFonts w:hint="eastAsia" w:ascii="宋体" w:hAnsi="宋体"/>
                <w:sz w:val="18"/>
                <w:szCs w:val="18"/>
              </w:rPr>
              <w:t>设备水流量应能控制在为：60L／</w:t>
            </w:r>
            <w:r>
              <w:rPr>
                <w:rFonts w:ascii="宋体" w:hAnsi="宋体"/>
                <w:sz w:val="18"/>
                <w:szCs w:val="18"/>
              </w:rPr>
              <w:t>h</w:t>
            </w:r>
            <w:r>
              <w:rPr>
                <w:rFonts w:hint="eastAsia" w:ascii="宋体" w:hAnsi="宋体"/>
                <w:sz w:val="18"/>
                <w:szCs w:val="18"/>
              </w:rPr>
              <w:t>～80L／</w:t>
            </w:r>
            <w:r>
              <w:rPr>
                <w:rFonts w:ascii="宋体" w:hAnsi="宋体"/>
                <w:sz w:val="18"/>
                <w:szCs w:val="18"/>
              </w:rPr>
              <w:t>h</w:t>
            </w:r>
          </w:p>
        </w:tc>
      </w:tr>
      <w:tr w14:paraId="179AD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5E16B480">
            <w:pPr>
              <w:spacing w:line="360" w:lineRule="auto"/>
              <w:jc w:val="center"/>
              <w:rPr>
                <w:rFonts w:hint="eastAsia"/>
                <w:sz w:val="18"/>
                <w:szCs w:val="18"/>
              </w:rPr>
            </w:pPr>
            <w:r>
              <w:rPr>
                <w:rFonts w:hint="eastAsia"/>
                <w:sz w:val="18"/>
                <w:szCs w:val="18"/>
              </w:rPr>
              <w:t>7</w:t>
            </w:r>
          </w:p>
        </w:tc>
        <w:tc>
          <w:tcPr>
            <w:tcW w:w="8374" w:type="dxa"/>
            <w:noWrap w:val="0"/>
            <w:vAlign w:val="center"/>
          </w:tcPr>
          <w:p w14:paraId="04A48DE9">
            <w:pPr>
              <w:spacing w:line="360" w:lineRule="auto"/>
              <w:rPr>
                <w:rFonts w:hint="eastAsia"/>
                <w:sz w:val="18"/>
                <w:szCs w:val="18"/>
              </w:rPr>
            </w:pPr>
            <w:r>
              <w:rPr>
                <w:rFonts w:hint="eastAsia"/>
                <w:sz w:val="18"/>
                <w:szCs w:val="18"/>
              </w:rPr>
              <w:t>采用反渗透净化装置：</w:t>
            </w:r>
            <w:r>
              <w:rPr>
                <w:rFonts w:hint="eastAsia" w:ascii="宋体" w:hAnsi="宋体"/>
                <w:sz w:val="18"/>
                <w:szCs w:val="18"/>
              </w:rPr>
              <w:t>水质过滤精度：≤5um</w:t>
            </w:r>
          </w:p>
        </w:tc>
      </w:tr>
      <w:tr w14:paraId="2B4A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0511CD8D">
            <w:pPr>
              <w:spacing w:line="360" w:lineRule="auto"/>
              <w:jc w:val="center"/>
              <w:rPr>
                <w:rFonts w:hint="eastAsia"/>
                <w:b/>
                <w:bCs/>
                <w:sz w:val="18"/>
                <w:szCs w:val="18"/>
              </w:rPr>
            </w:pPr>
            <w:r>
              <w:rPr>
                <w:rFonts w:hint="eastAsia"/>
                <w:b/>
                <w:bCs/>
                <w:sz w:val="18"/>
                <w:szCs w:val="18"/>
              </w:rPr>
              <w:t>四</w:t>
            </w:r>
          </w:p>
        </w:tc>
        <w:tc>
          <w:tcPr>
            <w:tcW w:w="8374" w:type="dxa"/>
            <w:noWrap w:val="0"/>
            <w:vAlign w:val="center"/>
          </w:tcPr>
          <w:p w14:paraId="01A62F5B">
            <w:pPr>
              <w:spacing w:line="360" w:lineRule="auto"/>
              <w:rPr>
                <w:rFonts w:hint="eastAsia"/>
                <w:b/>
                <w:bCs/>
                <w:sz w:val="18"/>
                <w:szCs w:val="18"/>
              </w:rPr>
            </w:pPr>
            <w:r>
              <w:rPr>
                <w:rFonts w:hint="eastAsia"/>
                <w:b/>
                <w:bCs/>
                <w:sz w:val="18"/>
                <w:szCs w:val="18"/>
              </w:rPr>
              <w:t>安全性能要求</w:t>
            </w:r>
          </w:p>
        </w:tc>
      </w:tr>
      <w:tr w14:paraId="63861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64AB65C5">
            <w:pPr>
              <w:spacing w:line="360" w:lineRule="auto"/>
              <w:jc w:val="center"/>
              <w:rPr>
                <w:rFonts w:hint="eastAsia"/>
                <w:sz w:val="18"/>
                <w:szCs w:val="18"/>
              </w:rPr>
            </w:pPr>
            <w:r>
              <w:rPr>
                <w:rFonts w:hint="eastAsia"/>
                <w:sz w:val="18"/>
                <w:szCs w:val="18"/>
              </w:rPr>
              <w:t>1</w:t>
            </w:r>
          </w:p>
        </w:tc>
        <w:tc>
          <w:tcPr>
            <w:tcW w:w="8374" w:type="dxa"/>
            <w:noWrap w:val="0"/>
            <w:vAlign w:val="center"/>
          </w:tcPr>
          <w:p w14:paraId="0D84257F">
            <w:pPr>
              <w:spacing w:line="360" w:lineRule="auto"/>
              <w:rPr>
                <w:rFonts w:hint="eastAsia"/>
                <w:sz w:val="18"/>
                <w:szCs w:val="18"/>
              </w:rPr>
            </w:pPr>
            <w:r>
              <w:rPr>
                <w:rFonts w:hint="eastAsia"/>
                <w:sz w:val="18"/>
                <w:szCs w:val="18"/>
              </w:rPr>
              <w:t>压力自动保护系统</w:t>
            </w:r>
          </w:p>
        </w:tc>
      </w:tr>
      <w:tr w14:paraId="504F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5E829098">
            <w:pPr>
              <w:spacing w:line="360" w:lineRule="auto"/>
              <w:jc w:val="center"/>
              <w:rPr>
                <w:sz w:val="18"/>
                <w:szCs w:val="18"/>
              </w:rPr>
            </w:pPr>
            <w:r>
              <w:rPr>
                <w:rFonts w:hint="eastAsia"/>
                <w:sz w:val="18"/>
                <w:szCs w:val="18"/>
              </w:rPr>
              <w:t>2</w:t>
            </w:r>
          </w:p>
        </w:tc>
        <w:tc>
          <w:tcPr>
            <w:tcW w:w="8374" w:type="dxa"/>
            <w:noWrap w:val="0"/>
            <w:vAlign w:val="center"/>
          </w:tcPr>
          <w:p w14:paraId="1519B64D">
            <w:pPr>
              <w:spacing w:line="360" w:lineRule="auto"/>
              <w:rPr>
                <w:rFonts w:hint="eastAsia"/>
                <w:sz w:val="18"/>
                <w:szCs w:val="18"/>
              </w:rPr>
            </w:pPr>
            <w:r>
              <w:rPr>
                <w:rFonts w:hint="eastAsia"/>
                <w:sz w:val="18"/>
                <w:szCs w:val="18"/>
              </w:rPr>
              <w:t>时间自动控制系统</w:t>
            </w:r>
          </w:p>
        </w:tc>
      </w:tr>
      <w:tr w14:paraId="255C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6DEA4EF4">
            <w:pPr>
              <w:spacing w:line="360" w:lineRule="auto"/>
              <w:jc w:val="center"/>
              <w:rPr>
                <w:sz w:val="18"/>
                <w:szCs w:val="18"/>
              </w:rPr>
            </w:pPr>
            <w:r>
              <w:rPr>
                <w:rFonts w:hint="eastAsia"/>
                <w:sz w:val="18"/>
                <w:szCs w:val="18"/>
              </w:rPr>
              <w:t>3</w:t>
            </w:r>
          </w:p>
        </w:tc>
        <w:tc>
          <w:tcPr>
            <w:tcW w:w="8374" w:type="dxa"/>
            <w:noWrap w:val="0"/>
            <w:vAlign w:val="center"/>
          </w:tcPr>
          <w:p w14:paraId="7AF06B6A">
            <w:pPr>
              <w:spacing w:line="360" w:lineRule="auto"/>
              <w:rPr>
                <w:rFonts w:hint="eastAsia"/>
                <w:sz w:val="18"/>
                <w:szCs w:val="18"/>
              </w:rPr>
            </w:pPr>
            <w:r>
              <w:rPr>
                <w:rFonts w:hint="eastAsia"/>
                <w:sz w:val="18"/>
                <w:szCs w:val="18"/>
              </w:rPr>
              <w:t>温度自动保护系统</w:t>
            </w:r>
          </w:p>
        </w:tc>
      </w:tr>
      <w:tr w14:paraId="1DE6F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6DA5AC67">
            <w:pPr>
              <w:spacing w:line="360" w:lineRule="auto"/>
              <w:jc w:val="center"/>
              <w:rPr>
                <w:sz w:val="18"/>
                <w:szCs w:val="18"/>
              </w:rPr>
            </w:pPr>
            <w:r>
              <w:rPr>
                <w:rFonts w:hint="eastAsia"/>
                <w:sz w:val="18"/>
                <w:szCs w:val="18"/>
              </w:rPr>
              <w:t>4</w:t>
            </w:r>
          </w:p>
        </w:tc>
        <w:tc>
          <w:tcPr>
            <w:tcW w:w="8374" w:type="dxa"/>
            <w:noWrap w:val="0"/>
            <w:vAlign w:val="center"/>
          </w:tcPr>
          <w:p w14:paraId="6D5B7ECD">
            <w:pPr>
              <w:spacing w:line="360" w:lineRule="auto"/>
              <w:rPr>
                <w:rFonts w:hint="eastAsia"/>
                <w:sz w:val="18"/>
                <w:szCs w:val="18"/>
              </w:rPr>
            </w:pPr>
            <w:r>
              <w:rPr>
                <w:rFonts w:hint="eastAsia"/>
                <w:sz w:val="18"/>
                <w:szCs w:val="18"/>
              </w:rPr>
              <w:t>流量自动控制系统</w:t>
            </w:r>
          </w:p>
        </w:tc>
      </w:tr>
      <w:tr w14:paraId="088F0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7" w:type="dxa"/>
            <w:noWrap w:val="0"/>
            <w:vAlign w:val="center"/>
          </w:tcPr>
          <w:p w14:paraId="0862B6E3">
            <w:pPr>
              <w:spacing w:line="360" w:lineRule="auto"/>
              <w:jc w:val="center"/>
              <w:rPr>
                <w:sz w:val="18"/>
                <w:szCs w:val="18"/>
              </w:rPr>
            </w:pPr>
            <w:r>
              <w:rPr>
                <w:rFonts w:hint="eastAsia"/>
                <w:sz w:val="18"/>
                <w:szCs w:val="18"/>
              </w:rPr>
              <w:t>5</w:t>
            </w:r>
          </w:p>
        </w:tc>
        <w:tc>
          <w:tcPr>
            <w:tcW w:w="8374" w:type="dxa"/>
            <w:noWrap w:val="0"/>
            <w:vAlign w:val="center"/>
          </w:tcPr>
          <w:p w14:paraId="7C610769">
            <w:pPr>
              <w:spacing w:line="360" w:lineRule="auto"/>
              <w:rPr>
                <w:rFonts w:hint="eastAsia"/>
                <w:sz w:val="18"/>
                <w:szCs w:val="18"/>
              </w:rPr>
            </w:pPr>
            <w:r>
              <w:rPr>
                <w:rFonts w:hint="eastAsia"/>
                <w:sz w:val="18"/>
                <w:szCs w:val="18"/>
              </w:rPr>
              <w:t>灌注液与药液管路分离</w:t>
            </w:r>
          </w:p>
        </w:tc>
      </w:tr>
    </w:tbl>
    <w:p w14:paraId="6DB5AA7A">
      <w:pPr>
        <w:pStyle w:val="4"/>
        <w:keepNext w:val="0"/>
        <w:keepLines w:val="0"/>
        <w:pageBreakBefore w:val="0"/>
        <w:widowControl w:val="0"/>
        <w:kinsoku/>
        <w:wordWrap/>
        <w:overflowPunct/>
        <w:topLinePunct w:val="0"/>
        <w:autoSpaceDE/>
        <w:autoSpaceDN/>
        <w:bidi w:val="0"/>
        <w:adjustRightInd/>
        <w:snapToGrid/>
        <w:spacing w:line="340" w:lineRule="exact"/>
        <w:ind w:left="0" w:leftChars="0" w:firstLine="480" w:firstLineChars="200"/>
        <w:textAlignment w:val="auto"/>
        <w:rPr>
          <w:rFonts w:hint="eastAsia" w:ascii="宋体" w:hAnsi="宋体" w:eastAsia="宋体" w:cs="宋体"/>
          <w:color w:val="auto"/>
          <w:sz w:val="24"/>
          <w:szCs w:val="24"/>
          <w:lang w:val="en-US" w:eastAsia="zh-CN"/>
        </w:rPr>
      </w:pPr>
    </w:p>
    <w:p w14:paraId="26BCEE2C">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2043FB70">
      <w:pPr>
        <w:pStyle w:val="4"/>
        <w:ind w:left="0" w:leftChars="0" w:firstLine="638" w:firstLineChars="266"/>
        <w:rPr>
          <w:rFonts w:hint="eastAsia" w:ascii="宋体" w:hAnsi="宋体" w:eastAsia="宋体" w:cs="宋体"/>
          <w:color w:val="auto"/>
          <w:sz w:val="24"/>
          <w:szCs w:val="24"/>
          <w:lang w:val="en-US" w:eastAsia="zh-CN"/>
        </w:rPr>
      </w:pP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售后服务机构（维修点），售后服务响应时间4小时，24小时到达现场维修。质保期内出现因质量问题经过2次维修不能正常使用的，做退、换货处理。维修、换货时间不计入质保期。成交供应商负责</w:t>
      </w:r>
      <w:r>
        <w:rPr>
          <w:rFonts w:hint="eastAsia"/>
          <w:lang w:eastAsia="zh-CN"/>
        </w:rPr>
        <w:t>进行</w:t>
      </w:r>
      <w:r>
        <w:t>操作培训，培训费用由供应商负责</w:t>
      </w:r>
      <w:r>
        <w:rPr>
          <w:rFonts w:hint="eastAsia" w:ascii="宋体" w:hAnsi="宋体" w:eastAsia="宋体" w:cs="宋体"/>
          <w:color w:val="auto"/>
          <w:sz w:val="24"/>
          <w:szCs w:val="24"/>
          <w:lang w:val="en-US" w:eastAsia="zh-CN"/>
        </w:rPr>
        <w:t>。</w:t>
      </w:r>
    </w:p>
    <w:p w14:paraId="3FA1F878">
      <w:pPr>
        <w:pStyle w:val="4"/>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（三）采购合同内容条款要求</w:t>
      </w:r>
    </w:p>
    <w:p w14:paraId="77997CDF">
      <w:pPr>
        <w:pStyle w:val="4"/>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r>
        <w:rPr>
          <w:rFonts w:hint="eastAsia" w:cs="宋体"/>
          <w:color w:val="auto"/>
          <w:sz w:val="24"/>
          <w:szCs w:val="24"/>
          <w:lang w:val="en-US" w:eastAsia="zh-CN"/>
        </w:rPr>
        <w:t>交货</w:t>
      </w:r>
      <w:r>
        <w:rPr>
          <w:rFonts w:hint="eastAsia" w:ascii="宋体" w:hAnsi="宋体" w:eastAsia="宋体" w:cs="宋体"/>
          <w:color w:val="auto"/>
          <w:sz w:val="24"/>
          <w:szCs w:val="24"/>
          <w:lang w:val="en-US" w:eastAsia="zh-CN"/>
        </w:rPr>
        <w:t>时间：</w:t>
      </w:r>
      <w:r>
        <w:rPr>
          <w:rFonts w:hint="default" w:ascii="宋体" w:hAnsi="宋体" w:eastAsia="宋体" w:cs="宋体"/>
          <w:color w:val="auto"/>
          <w:sz w:val="24"/>
          <w:szCs w:val="24"/>
          <w:lang w:val="en-US" w:eastAsia="zh-CN"/>
        </w:rPr>
        <w:t>合同签订后</w:t>
      </w:r>
      <w:r>
        <w:rPr>
          <w:rFonts w:hint="eastAsia" w:cs="宋体"/>
          <w:color w:val="auto"/>
          <w:sz w:val="24"/>
          <w:szCs w:val="24"/>
          <w:lang w:val="en-US" w:eastAsia="zh-CN"/>
        </w:rPr>
        <w:t>30日内</w:t>
      </w:r>
      <w:r>
        <w:rPr>
          <w:rFonts w:hint="eastAsia" w:ascii="宋体" w:hAnsi="宋体" w:eastAsia="宋体" w:cs="宋体"/>
          <w:color w:val="auto"/>
          <w:sz w:val="24"/>
          <w:szCs w:val="24"/>
          <w:lang w:val="en-US" w:eastAsia="zh-CN"/>
        </w:rPr>
        <w:t>。</w:t>
      </w:r>
    </w:p>
    <w:p w14:paraId="394C4837">
      <w:pPr>
        <w:pStyle w:val="4"/>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2.交货地点：邻水县人民医院</w:t>
      </w:r>
      <w:r>
        <w:rPr>
          <w:rFonts w:hint="eastAsia" w:ascii="宋体" w:hAnsi="宋体" w:eastAsia="宋体" w:cs="宋体"/>
          <w:color w:val="auto"/>
          <w:sz w:val="24"/>
          <w:szCs w:val="24"/>
          <w:lang w:val="en-US" w:eastAsia="zh-CN"/>
        </w:rPr>
        <w:t>。</w:t>
      </w:r>
    </w:p>
    <w:p w14:paraId="11FEC2D4">
      <w:pPr>
        <w:pStyle w:val="4"/>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7E360BF1">
      <w:pPr>
        <w:pStyle w:val="4"/>
        <w:rPr>
          <w:rFonts w:hint="default" w:ascii="宋体" w:hAnsi="宋体" w:eastAsia="宋体" w:cs="宋体"/>
          <w:color w:val="auto"/>
          <w:sz w:val="24"/>
          <w:szCs w:val="24"/>
          <w:highlight w:val="none"/>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w:t>
      </w:r>
      <w:r>
        <w:rPr>
          <w:rFonts w:hint="eastAsia" w:ascii="宋体" w:hAnsi="宋体" w:cs="宋体"/>
          <w:color w:val="auto"/>
          <w:sz w:val="24"/>
          <w:szCs w:val="24"/>
          <w:highlight w:val="none"/>
          <w:lang w:val="en-US" w:eastAsia="zh-CN"/>
        </w:rPr>
        <w:t>验收合格后</w:t>
      </w:r>
      <w:r>
        <w:rPr>
          <w:rFonts w:hint="eastAsia" w:cs="宋体"/>
          <w:color w:val="auto"/>
          <w:sz w:val="24"/>
          <w:szCs w:val="24"/>
          <w:highlight w:val="none"/>
          <w:lang w:val="en-US" w:eastAsia="zh-CN"/>
        </w:rPr>
        <w:t>，</w:t>
      </w:r>
      <w:r>
        <w:rPr>
          <w:rFonts w:hint="eastAsia" w:ascii="宋体" w:hAnsi="宋体" w:cs="宋体"/>
          <w:color w:val="auto"/>
          <w:sz w:val="24"/>
          <w:szCs w:val="24"/>
          <w:lang w:val="en-US" w:eastAsia="zh-CN"/>
        </w:rPr>
        <w:t>一次性开</w:t>
      </w:r>
      <w:r>
        <w:rPr>
          <w:rFonts w:hint="eastAsia" w:cs="宋体"/>
          <w:color w:val="auto"/>
          <w:sz w:val="24"/>
          <w:szCs w:val="24"/>
          <w:lang w:val="en-US" w:eastAsia="zh-CN"/>
        </w:rPr>
        <w:t>具</w:t>
      </w:r>
      <w:r>
        <w:rPr>
          <w:rFonts w:hint="eastAsia" w:cs="宋体"/>
          <w:color w:val="auto"/>
          <w:sz w:val="24"/>
          <w:szCs w:val="24"/>
          <w:highlight w:val="none"/>
          <w:lang w:val="en-US" w:eastAsia="zh-CN"/>
        </w:rPr>
        <w:t>成交</w:t>
      </w:r>
      <w:r>
        <w:rPr>
          <w:rFonts w:hint="eastAsia" w:ascii="宋体" w:hAnsi="宋体" w:cs="宋体"/>
          <w:color w:val="auto"/>
          <w:sz w:val="24"/>
          <w:szCs w:val="24"/>
          <w:highlight w:val="none"/>
          <w:lang w:val="en-US" w:eastAsia="zh-CN"/>
        </w:rPr>
        <w:t>金额的发票，</w:t>
      </w:r>
      <w:r>
        <w:rPr>
          <w:rFonts w:hint="eastAsia" w:cs="宋体"/>
          <w:color w:val="auto"/>
          <w:sz w:val="24"/>
          <w:szCs w:val="24"/>
          <w:highlight w:val="none"/>
          <w:lang w:val="en-US" w:eastAsia="zh-CN"/>
        </w:rPr>
        <w:t>采购人60日内支付合同金额的90%，</w:t>
      </w:r>
      <w:r>
        <w:rPr>
          <w:rFonts w:hint="eastAsia" w:ascii="宋体" w:hAnsi="宋体" w:cs="宋体"/>
          <w:color w:val="auto"/>
          <w:sz w:val="24"/>
          <w:szCs w:val="24"/>
          <w:highlight w:val="none"/>
          <w:lang w:val="en-US" w:eastAsia="zh-CN"/>
        </w:rPr>
        <w:t>验收合格后</w:t>
      </w:r>
      <w:r>
        <w:rPr>
          <w:rFonts w:hint="eastAsia" w:cs="宋体"/>
          <w:color w:val="auto"/>
          <w:sz w:val="24"/>
          <w:szCs w:val="24"/>
          <w:highlight w:val="none"/>
          <w:lang w:val="en-US" w:eastAsia="zh-CN"/>
        </w:rPr>
        <w:t>满1年支付剩余10%</w:t>
      </w:r>
      <w:r>
        <w:rPr>
          <w:rFonts w:hint="default" w:ascii="宋体" w:hAnsi="宋体" w:eastAsia="宋体" w:cs="宋体"/>
          <w:color w:val="auto"/>
          <w:sz w:val="24"/>
          <w:szCs w:val="24"/>
          <w:lang w:val="en-US" w:eastAsia="zh-CN"/>
        </w:rPr>
        <w:t>。</w:t>
      </w:r>
    </w:p>
    <w:p w14:paraId="2F1A68A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271180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4"/>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2.中标人承担项目实施过程中的一切安全责任和安全费用。</w:t>
      </w:r>
    </w:p>
    <w:p w14:paraId="35C78CE5">
      <w:pPr>
        <w:tabs>
          <w:tab w:val="left" w:pos="7665"/>
        </w:tabs>
        <w:spacing w:line="400" w:lineRule="exact"/>
        <w:ind w:firstLine="482"/>
        <w:jc w:val="both"/>
        <w:outlineLvl w:val="0"/>
        <w:rPr>
          <w:rFonts w:hint="default" w:ascii="黑体" w:hAnsi="宋体" w:eastAsia="黑体"/>
          <w:b/>
          <w:bCs/>
          <w:sz w:val="32"/>
          <w:szCs w:val="32"/>
          <w:lang w:val="en-US" w:eastAsia="zh-CN"/>
        </w:rPr>
      </w:pPr>
      <w:r>
        <w:rPr>
          <w:rFonts w:hint="eastAsia" w:ascii="宋体" w:hAnsi="宋体" w:eastAsia="宋体" w:cs="Times New Roman"/>
          <w:sz w:val="24"/>
          <w:szCs w:val="24"/>
          <w:lang w:val="en-US" w:eastAsia="zh-CN"/>
        </w:rPr>
        <w:t>3.2025年（含）以后生产的产品。</w:t>
      </w:r>
    </w:p>
    <w:p w14:paraId="0BA68677">
      <w:pPr>
        <w:tabs>
          <w:tab w:val="left" w:pos="7665"/>
        </w:tabs>
        <w:spacing w:line="400" w:lineRule="exact"/>
        <w:ind w:firstLine="482"/>
        <w:jc w:val="center"/>
        <w:outlineLvl w:val="0"/>
        <w:rPr>
          <w:rFonts w:hint="eastAsia" w:ascii="黑体" w:hAnsi="宋体" w:eastAsia="黑体"/>
          <w:b/>
          <w:bCs/>
          <w:sz w:val="32"/>
          <w:szCs w:val="32"/>
        </w:rPr>
      </w:pPr>
    </w:p>
    <w:p w14:paraId="32C19FF9">
      <w:pPr>
        <w:pStyle w:val="6"/>
        <w:rPr>
          <w:rFonts w:hint="eastAsia" w:ascii="黑体" w:hAnsi="宋体" w:eastAsia="黑体"/>
          <w:b/>
          <w:bCs/>
          <w:sz w:val="32"/>
          <w:szCs w:val="32"/>
        </w:rPr>
      </w:pPr>
    </w:p>
    <w:p w14:paraId="18A62DEB">
      <w:pPr>
        <w:pStyle w:val="7"/>
        <w:rPr>
          <w:rFonts w:hint="eastAsia"/>
        </w:rPr>
      </w:pPr>
      <w:bookmarkStart w:id="34" w:name="_GoBack"/>
      <w:bookmarkEnd w:id="34"/>
    </w:p>
    <w:p w14:paraId="13E9479E">
      <w:pPr>
        <w:pStyle w:val="7"/>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7"/>
        <w:rPr>
          <w:rFonts w:hint="eastAsia"/>
          <w:b/>
          <w:sz w:val="32"/>
          <w:szCs w:val="32"/>
        </w:rPr>
      </w:pPr>
    </w:p>
    <w:p w14:paraId="3E2BAE9F">
      <w:pPr>
        <w:pStyle w:val="7"/>
        <w:rPr>
          <w:rFonts w:hint="eastAsia"/>
          <w:b/>
          <w:sz w:val="32"/>
          <w:szCs w:val="32"/>
        </w:rPr>
      </w:pPr>
    </w:p>
    <w:p w14:paraId="31CC1F9B">
      <w:pPr>
        <w:pStyle w:val="7"/>
        <w:rPr>
          <w:rFonts w:hint="eastAsia"/>
          <w:b/>
          <w:sz w:val="32"/>
          <w:szCs w:val="32"/>
        </w:rPr>
      </w:pPr>
    </w:p>
    <w:p w14:paraId="66F4DD6C">
      <w:pPr>
        <w:pStyle w:val="7"/>
        <w:rPr>
          <w:rFonts w:hint="eastAsia"/>
          <w:b/>
          <w:sz w:val="32"/>
          <w:szCs w:val="32"/>
        </w:rPr>
      </w:pPr>
    </w:p>
    <w:p w14:paraId="1F7476C0">
      <w:pPr>
        <w:pStyle w:val="7"/>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7"/>
        <w:rPr>
          <w:rFonts w:hint="eastAsia"/>
          <w:b/>
          <w:sz w:val="32"/>
          <w:szCs w:val="32"/>
        </w:rPr>
      </w:pPr>
    </w:p>
    <w:p w14:paraId="4573D810">
      <w:pPr>
        <w:pStyle w:val="7"/>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三、参加本次采购活动，不存在与单位负责人为同一人或者存在直接控股、管理关系的其他供应商参与同一合同项下的政府采购活动的行为。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（三）一旦我方成交，我方将严格履行政府采购合同规定的责任和义务。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left="1151" w:leftChars="228" w:hanging="672" w:hangingChars="300"/>
        <w:rPr>
          <w:rFonts w:hint="eastAsia" w:ascii="宋体" w:hAnsi="宋体"/>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960" w:firstLineChars="4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7"/>
        <w:rPr>
          <w:rFonts w:hint="eastAsia"/>
          <w:lang w:eastAsia="zh-CN"/>
        </w:rPr>
      </w:pPr>
    </w:p>
    <w:p w14:paraId="03EF6F1C">
      <w:pPr>
        <w:pStyle w:val="7"/>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9"/>
        <w:tabs>
          <w:tab w:val="left" w:pos="0"/>
        </w:tabs>
        <w:spacing w:after="0" w:line="400" w:lineRule="exact"/>
        <w:rPr>
          <w:rFonts w:hint="eastAsia"/>
        </w:rPr>
      </w:pPr>
    </w:p>
    <w:p w14:paraId="09233E8B">
      <w:pPr>
        <w:pStyle w:val="9"/>
        <w:tabs>
          <w:tab w:val="left" w:pos="0"/>
        </w:tabs>
        <w:rPr>
          <w:rFonts w:hint="eastAsia"/>
        </w:rPr>
      </w:pPr>
    </w:p>
    <w:p w14:paraId="5BF951EE">
      <w:pPr>
        <w:pStyle w:val="9"/>
        <w:tabs>
          <w:tab w:val="left" w:pos="0"/>
        </w:tabs>
        <w:rPr>
          <w:rFonts w:hint="eastAsia"/>
        </w:rPr>
      </w:pPr>
    </w:p>
    <w:p w14:paraId="1EACDFB2">
      <w:pPr>
        <w:pStyle w:val="9"/>
        <w:tabs>
          <w:tab w:val="left" w:pos="0"/>
        </w:tabs>
        <w:rPr>
          <w:rFonts w:hint="eastAsia"/>
        </w:rPr>
      </w:pPr>
    </w:p>
    <w:p w14:paraId="49BA259B">
      <w:pPr>
        <w:pStyle w:val="9"/>
        <w:tabs>
          <w:tab w:val="left" w:pos="0"/>
        </w:tabs>
        <w:rPr>
          <w:rFonts w:hint="eastAsia"/>
        </w:rPr>
      </w:pPr>
    </w:p>
    <w:p w14:paraId="26D6F00E">
      <w:pPr>
        <w:pStyle w:val="9"/>
        <w:tabs>
          <w:tab w:val="left" w:pos="0"/>
        </w:tabs>
        <w:rPr>
          <w:rFonts w:hint="eastAsia"/>
        </w:rPr>
      </w:pPr>
    </w:p>
    <w:p w14:paraId="587DFC25">
      <w:pPr>
        <w:pStyle w:val="9"/>
        <w:tabs>
          <w:tab w:val="left" w:pos="0"/>
        </w:tabs>
        <w:ind w:left="0" w:leftChars="0" w:firstLine="0" w:firstLineChars="0"/>
        <w:jc w:val="both"/>
        <w:rPr>
          <w:rFonts w:hint="eastAsia"/>
          <w:b/>
          <w:sz w:val="32"/>
          <w:szCs w:val="32"/>
        </w:rPr>
      </w:pPr>
    </w:p>
    <w:p w14:paraId="0FD1EA34">
      <w:pPr>
        <w:pStyle w:val="9"/>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9"/>
        <w:tabs>
          <w:tab w:val="left" w:pos="0"/>
        </w:tabs>
        <w:jc w:val="center"/>
        <w:rPr>
          <w:rFonts w:hint="eastAsia"/>
        </w:rPr>
      </w:pPr>
    </w:p>
    <w:p w14:paraId="0CD2C491">
      <w:pPr>
        <w:pStyle w:val="9"/>
        <w:tabs>
          <w:tab w:val="left" w:pos="0"/>
        </w:tabs>
        <w:jc w:val="center"/>
        <w:rPr>
          <w:rFonts w:hint="eastAsia"/>
        </w:rPr>
      </w:pPr>
    </w:p>
    <w:p w14:paraId="51992F2D">
      <w:pPr>
        <w:pStyle w:val="9"/>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7"/>
        <w:rPr>
          <w:rFonts w:hint="eastAsia"/>
          <w:sz w:val="24"/>
        </w:rPr>
      </w:pPr>
    </w:p>
    <w:p w14:paraId="6F5E4E1A">
      <w:pPr>
        <w:jc w:val="center"/>
        <w:rPr>
          <w:b/>
          <w:sz w:val="32"/>
          <w:szCs w:val="32"/>
        </w:rPr>
      </w:pPr>
      <w:bookmarkStart w:id="30" w:name="_Toc22280"/>
      <w:bookmarkStart w:id="31" w:name="_Toc17324"/>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7C55E609">
      <w:pPr>
        <w:spacing w:line="480" w:lineRule="exact"/>
        <w:ind w:firstLine="360" w:firstLineChars="150"/>
        <w:rPr>
          <w:sz w:val="24"/>
          <w:highlight w:val="white"/>
        </w:rPr>
      </w:pPr>
      <w:r>
        <w:rPr>
          <w:sz w:val="24"/>
          <w:highlight w:val="white"/>
        </w:rPr>
        <w:t xml:space="preserve"> 2. </w:t>
      </w:r>
      <w:r>
        <w:rPr>
          <w:sz w:val="24"/>
          <w:highlight w:val="white"/>
          <w:u w:val="single"/>
        </w:rPr>
        <w:t>（标的名称）</w:t>
      </w:r>
      <w:r>
        <w:rPr>
          <w:sz w:val="24"/>
          <w:highlight w:val="white"/>
        </w:rPr>
        <w:t xml:space="preserve"> ，属于</w:t>
      </w:r>
      <w:r>
        <w:rPr>
          <w:sz w:val="24"/>
          <w:highlight w:val="white"/>
          <w:u w:val="single"/>
        </w:rPr>
        <w:t>（采购文件中明确的所属行业）</w:t>
      </w:r>
      <w:r>
        <w:rPr>
          <w:sz w:val="24"/>
          <w:highlight w:val="white"/>
        </w:rPr>
        <w:t xml:space="preserve"> 行业；制造商为</w:t>
      </w:r>
      <w:r>
        <w:rPr>
          <w:sz w:val="24"/>
          <w:highlight w:val="white"/>
          <w:u w:val="single"/>
        </w:rPr>
        <w:t>（企业名称）</w:t>
      </w:r>
      <w:r>
        <w:rPr>
          <w:sz w:val="24"/>
          <w:highlight w:val="white"/>
        </w:rPr>
        <w:t>，从业人员</w:t>
      </w:r>
      <w:r>
        <w:rPr>
          <w:sz w:val="24"/>
          <w:highlight w:val="white"/>
          <w:u w:val="single"/>
        </w:rPr>
        <w:t xml:space="preserve"> </w:t>
      </w:r>
      <w:r>
        <w:rPr>
          <w:rFonts w:hint="eastAsia"/>
          <w:sz w:val="24"/>
          <w:highlight w:val="white"/>
          <w:u w:val="single"/>
          <w:lang w:val="en-US" w:eastAsia="zh-CN"/>
        </w:rPr>
        <w:t xml:space="preserve"> </w:t>
      </w:r>
      <w:r>
        <w:rPr>
          <w:sz w:val="24"/>
          <w:highlight w:val="white"/>
        </w:rPr>
        <w:t>人，营业收入为</w:t>
      </w:r>
      <w:r>
        <w:rPr>
          <w:sz w:val="24"/>
          <w:highlight w:val="white"/>
          <w:u w:val="single"/>
        </w:rPr>
        <w:t xml:space="preserve"> </w:t>
      </w:r>
      <w:r>
        <w:rPr>
          <w:rFonts w:hint="eastAsia"/>
          <w:sz w:val="24"/>
          <w:highlight w:val="white"/>
          <w:u w:val="single"/>
          <w:lang w:val="en-US" w:eastAsia="zh-CN"/>
        </w:rPr>
        <w:t xml:space="preserve">  </w:t>
      </w:r>
      <w:r>
        <w:rPr>
          <w:sz w:val="24"/>
          <w:highlight w:val="white"/>
        </w:rPr>
        <w:t>万元，资产总额为</w:t>
      </w:r>
      <w:r>
        <w:rPr>
          <w:rFonts w:hint="eastAsia"/>
          <w:sz w:val="24"/>
          <w:highlight w:val="white"/>
          <w:u w:val="single"/>
          <w:lang w:val="en-US" w:eastAsia="zh-CN"/>
        </w:rPr>
        <w:t xml:space="preserve">  </w:t>
      </w:r>
      <w:r>
        <w:rPr>
          <w:sz w:val="24"/>
          <w:highlight w:val="white"/>
          <w:u w:val="single"/>
        </w:rPr>
        <w:t xml:space="preserve"> </w:t>
      </w:r>
      <w:r>
        <w:rPr>
          <w:sz w:val="24"/>
          <w:highlight w:val="white"/>
        </w:rPr>
        <w:t xml:space="preserve">万元 </w:t>
      </w:r>
      <w:r>
        <w:rPr>
          <w:rFonts w:hint="eastAsia"/>
          <w:sz w:val="24"/>
          <w:highlight w:val="white"/>
        </w:rPr>
        <w:t>，</w:t>
      </w:r>
      <w:r>
        <w:rPr>
          <w:sz w:val="24"/>
          <w:highlight w:val="white"/>
        </w:rPr>
        <w:t>属于</w:t>
      </w:r>
      <w:r>
        <w:rPr>
          <w:sz w:val="24"/>
          <w:highlight w:val="white"/>
          <w:u w:val="single"/>
        </w:rPr>
        <w:t>（中型企业、小型企业、微型企业）</w:t>
      </w:r>
      <w:r>
        <w:rPr>
          <w:sz w:val="24"/>
          <w:highlight w:val="white"/>
        </w:rPr>
        <w:t>；</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42DB3C4E">
      <w:pPr>
        <w:spacing w:line="480" w:lineRule="exact"/>
        <w:ind w:firstLine="480"/>
        <w:jc w:val="center"/>
        <w:rPr>
          <w:sz w:val="24"/>
          <w:highlight w:val="white"/>
        </w:rPr>
      </w:pPr>
      <w:r>
        <w:rPr>
          <w:sz w:val="24"/>
          <w:highlight w:val="white"/>
        </w:rPr>
        <w:t xml:space="preserve"> </w:t>
      </w:r>
      <w:r>
        <w:rPr>
          <w:rFonts w:hint="eastAsia"/>
          <w:sz w:val="24"/>
          <w:highlight w:val="white"/>
          <w:lang w:val="en-US" w:eastAsia="zh-CN"/>
        </w:rPr>
        <w:t xml:space="preserve">                         </w:t>
      </w:r>
      <w:r>
        <w:rPr>
          <w:sz w:val="24"/>
          <w:highlight w:val="white"/>
        </w:rPr>
        <w:t>企业名称（盖章）：</w:t>
      </w:r>
    </w:p>
    <w:p w14:paraId="594CC8EF">
      <w:pPr>
        <w:spacing w:line="480" w:lineRule="exact"/>
        <w:ind w:left="0" w:leftChars="0" w:right="480" w:firstLine="4860" w:firstLineChars="2025"/>
        <w:rPr>
          <w:sz w:val="24"/>
          <w:highlight w:val="white"/>
        </w:rPr>
      </w:pPr>
      <w:r>
        <w:rPr>
          <w:sz w:val="24"/>
          <w:highlight w:val="white"/>
        </w:rPr>
        <w:t xml:space="preserve">日 期： </w:t>
      </w:r>
    </w:p>
    <w:p w14:paraId="29E86E61">
      <w:pPr>
        <w:spacing w:line="480" w:lineRule="exact"/>
        <w:ind w:right="480" w:firstLine="6960" w:firstLineChars="2900"/>
        <w:rPr>
          <w:sz w:val="24"/>
          <w:highlight w:val="white"/>
        </w:rPr>
      </w:pPr>
      <w:r>
        <w:rPr>
          <w:sz w:val="24"/>
          <w:highlight w:val="white"/>
        </w:rPr>
        <w:t xml:space="preserve"> </w:t>
      </w:r>
    </w:p>
    <w:p w14:paraId="7076A4FF">
      <w:pPr>
        <w:spacing w:line="480" w:lineRule="exact"/>
        <w:ind w:firstLine="480"/>
        <w:rPr>
          <w:sz w:val="24"/>
          <w:highlight w:val="white"/>
        </w:rPr>
      </w:pPr>
    </w:p>
    <w:p w14:paraId="7FC202FF">
      <w:pPr>
        <w:keepNext w:val="0"/>
        <w:keepLines w:val="0"/>
        <w:widowControl/>
        <w:suppressLineNumbers w:val="0"/>
        <w:jc w:val="left"/>
        <w:rPr>
          <w:sz w:val="24"/>
          <w:szCs w:val="32"/>
        </w:rPr>
      </w:pPr>
      <w:r>
        <w:rPr>
          <w:rFonts w:hint="eastAsia" w:ascii="宋体" w:hAnsi="宋体" w:eastAsia="宋体" w:cs="宋体"/>
          <w:color w:val="000000"/>
          <w:kern w:val="0"/>
          <w:sz w:val="21"/>
          <w:szCs w:val="21"/>
          <w:lang w:val="en-US" w:eastAsia="zh-CN" w:bidi="ar"/>
        </w:rPr>
        <w:t xml:space="preserve">注： </w:t>
      </w:r>
    </w:p>
    <w:p w14:paraId="13BF767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1、供应商根据《工业和信息化部、国家统计局、国家发展和改革委员会、财政部关于印发中小企业划型标准规定的通知》（工信部联企业〔2011〕300号）规定，结合自身实际，确定对应的中小企业划型。 </w:t>
      </w:r>
    </w:p>
    <w:p w14:paraId="7146E668">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 xml:space="preserve">2、从业人员、营业收入、资产总额填报上一年度数据，无上一年度数据的新成立企业从业人员、营业收入、资产总额均填0，根据提交投标（响应）文件时的实际情况填写企业类型。 </w:t>
      </w:r>
    </w:p>
    <w:p w14:paraId="4A0314F3">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sz w:val="24"/>
          <w:szCs w:val="32"/>
        </w:rPr>
      </w:pPr>
      <w:r>
        <w:rPr>
          <w:rFonts w:hint="eastAsia" w:ascii="宋体" w:hAnsi="宋体" w:eastAsia="宋体" w:cs="宋体"/>
          <w:color w:val="000000"/>
          <w:kern w:val="0"/>
          <w:sz w:val="21"/>
          <w:szCs w:val="21"/>
          <w:lang w:val="en-US" w:eastAsia="zh-CN" w:bidi="ar"/>
        </w:rPr>
        <w:t>3、供应商不属于中小企业的，无需提供此声明。</w:t>
      </w:r>
    </w:p>
    <w:p w14:paraId="7289BFD8">
      <w:pPr>
        <w:pStyle w:val="7"/>
        <w:rPr>
          <w:sz w:val="24"/>
          <w:highlight w:val="white"/>
        </w:rPr>
      </w:pPr>
    </w:p>
    <w:p w14:paraId="4C0E06A2">
      <w:pPr>
        <w:pStyle w:val="7"/>
        <w:rPr>
          <w:sz w:val="24"/>
          <w:highlight w:val="white"/>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7"/>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7"/>
        <w:rPr>
          <w:rFonts w:hint="eastAsia"/>
          <w:sz w:val="24"/>
          <w:highlight w:val="white"/>
        </w:rPr>
      </w:pPr>
    </w:p>
    <w:p w14:paraId="1C83667E">
      <w:pPr>
        <w:pStyle w:val="7"/>
        <w:rPr>
          <w:rFonts w:hint="eastAsia"/>
          <w:sz w:val="24"/>
          <w:highlight w:val="white"/>
        </w:rPr>
      </w:pPr>
    </w:p>
    <w:p w14:paraId="204EDF37">
      <w:pPr>
        <w:spacing w:line="480" w:lineRule="exact"/>
        <w:ind w:firstLine="480"/>
        <w:jc w:val="center"/>
        <w:rPr>
          <w:sz w:val="24"/>
          <w:highlight w:val="white"/>
        </w:rPr>
      </w:pPr>
      <w:r>
        <w:rPr>
          <w:rFonts w:hint="eastAsia"/>
          <w:sz w:val="24"/>
          <w:highlight w:val="white"/>
          <w:lang w:val="en-US" w:eastAsia="zh-CN"/>
        </w:rPr>
        <w:t xml:space="preserve">                         </w:t>
      </w:r>
      <w:r>
        <w:rPr>
          <w:sz w:val="24"/>
          <w:highlight w:val="white"/>
        </w:rPr>
        <w:t>企业名称（盖章）：</w:t>
      </w:r>
    </w:p>
    <w:p w14:paraId="170BE2F9">
      <w:pPr>
        <w:spacing w:line="480" w:lineRule="exact"/>
        <w:ind w:left="0" w:leftChars="0" w:right="480" w:firstLine="4860" w:firstLineChars="2025"/>
        <w:rPr>
          <w:sz w:val="24"/>
          <w:highlight w:val="white"/>
        </w:rPr>
      </w:pPr>
      <w:r>
        <w:rPr>
          <w:sz w:val="24"/>
          <w:highlight w:val="white"/>
        </w:rPr>
        <w:t xml:space="preserve">日 期： </w:t>
      </w:r>
    </w:p>
    <w:p w14:paraId="0244F243">
      <w:pPr>
        <w:spacing w:line="480" w:lineRule="exact"/>
        <w:ind w:firstLine="480"/>
        <w:rPr>
          <w:sz w:val="24"/>
          <w:highlight w:val="white"/>
        </w:rPr>
      </w:pPr>
    </w:p>
    <w:p w14:paraId="0353C740">
      <w:pPr>
        <w:pStyle w:val="7"/>
        <w:rPr>
          <w:rFonts w:hint="eastAsia"/>
          <w:sz w:val="24"/>
          <w:highlight w:val="white"/>
        </w:rPr>
      </w:pPr>
    </w:p>
    <w:p w14:paraId="632478B8">
      <w:pPr>
        <w:pStyle w:val="7"/>
        <w:rPr>
          <w:rFonts w:hint="eastAsia"/>
          <w:sz w:val="24"/>
          <w:highlight w:val="white"/>
        </w:rPr>
      </w:pPr>
    </w:p>
    <w:p w14:paraId="0483F5B2">
      <w:pPr>
        <w:pStyle w:val="7"/>
        <w:rPr>
          <w:rFonts w:hint="eastAsia"/>
          <w:sz w:val="24"/>
          <w:highlight w:val="white"/>
        </w:rPr>
      </w:pPr>
    </w:p>
    <w:p w14:paraId="60BEFB19">
      <w:pPr>
        <w:keepNext w:val="0"/>
        <w:keepLines w:val="0"/>
        <w:pageBreakBefore w:val="0"/>
        <w:widowControl/>
        <w:suppressLineNumbers w:val="0"/>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注： </w:t>
      </w:r>
    </w:p>
    <w:p w14:paraId="1B33FC3E">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 xml:space="preserve">1.残疾人福利性单位视同小型、微型企业，享受预留份额、评审中价格扣除等促进中小企业发展的政府采购政策。残疾人福利性单位本身属于小型、微型企业或者监狱企业的，不重复享受政策。 </w:t>
      </w:r>
    </w:p>
    <w:p w14:paraId="00175AAC">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2.供应商不属于残疾人福利性单位的，无需提供此声明。</w:t>
      </w:r>
    </w:p>
    <w:p w14:paraId="1E8489D6">
      <w:pPr>
        <w:pStyle w:val="7"/>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7"/>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7"/>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7"/>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4"/>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50864527"/>
      <w:bookmarkStart w:id="33" w:name="_Toc349810624"/>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1051B8"/>
    <w:rsid w:val="017A3DF3"/>
    <w:rsid w:val="01996D1E"/>
    <w:rsid w:val="0232035F"/>
    <w:rsid w:val="03312117"/>
    <w:rsid w:val="03382710"/>
    <w:rsid w:val="044E51C5"/>
    <w:rsid w:val="04A56D22"/>
    <w:rsid w:val="05A73BC6"/>
    <w:rsid w:val="05C95532"/>
    <w:rsid w:val="061044D7"/>
    <w:rsid w:val="069E4015"/>
    <w:rsid w:val="06BF1338"/>
    <w:rsid w:val="082774BE"/>
    <w:rsid w:val="09124A1D"/>
    <w:rsid w:val="095F7AF5"/>
    <w:rsid w:val="0A002AA2"/>
    <w:rsid w:val="0B9F3C77"/>
    <w:rsid w:val="0C466419"/>
    <w:rsid w:val="0C48123D"/>
    <w:rsid w:val="0C6738C3"/>
    <w:rsid w:val="0C72629B"/>
    <w:rsid w:val="0D6D5659"/>
    <w:rsid w:val="0EDF143F"/>
    <w:rsid w:val="0EF96A7C"/>
    <w:rsid w:val="0F1C1021"/>
    <w:rsid w:val="100F3D7F"/>
    <w:rsid w:val="108E0E58"/>
    <w:rsid w:val="11C753B0"/>
    <w:rsid w:val="1200267B"/>
    <w:rsid w:val="12224C84"/>
    <w:rsid w:val="12A450B5"/>
    <w:rsid w:val="12F16635"/>
    <w:rsid w:val="13D91CFB"/>
    <w:rsid w:val="14322531"/>
    <w:rsid w:val="15C06EFA"/>
    <w:rsid w:val="15C252D6"/>
    <w:rsid w:val="16FE5738"/>
    <w:rsid w:val="17076BA6"/>
    <w:rsid w:val="17214185"/>
    <w:rsid w:val="17AC53CA"/>
    <w:rsid w:val="17D16426"/>
    <w:rsid w:val="18D362B4"/>
    <w:rsid w:val="19575943"/>
    <w:rsid w:val="195A66FF"/>
    <w:rsid w:val="196E39FC"/>
    <w:rsid w:val="19970C16"/>
    <w:rsid w:val="1A705BA0"/>
    <w:rsid w:val="1C790BEF"/>
    <w:rsid w:val="1CC21F8E"/>
    <w:rsid w:val="1DDF0350"/>
    <w:rsid w:val="1F7A022C"/>
    <w:rsid w:val="1FBF6B0B"/>
    <w:rsid w:val="1FE43AF7"/>
    <w:rsid w:val="204A081C"/>
    <w:rsid w:val="205058A7"/>
    <w:rsid w:val="20714280"/>
    <w:rsid w:val="207460AE"/>
    <w:rsid w:val="21427125"/>
    <w:rsid w:val="21CC3154"/>
    <w:rsid w:val="22947F00"/>
    <w:rsid w:val="23902475"/>
    <w:rsid w:val="239E61C1"/>
    <w:rsid w:val="248F084E"/>
    <w:rsid w:val="259801CB"/>
    <w:rsid w:val="268F0FD1"/>
    <w:rsid w:val="27644041"/>
    <w:rsid w:val="28FC7A35"/>
    <w:rsid w:val="2A1047F1"/>
    <w:rsid w:val="2A745C14"/>
    <w:rsid w:val="2AAA30F8"/>
    <w:rsid w:val="2AE95BE6"/>
    <w:rsid w:val="2B4F4C91"/>
    <w:rsid w:val="2B7E6357"/>
    <w:rsid w:val="2BAB1AA3"/>
    <w:rsid w:val="2C0F10F4"/>
    <w:rsid w:val="2C153338"/>
    <w:rsid w:val="2C974493"/>
    <w:rsid w:val="2D543928"/>
    <w:rsid w:val="2D5B63DD"/>
    <w:rsid w:val="2D862680"/>
    <w:rsid w:val="2DBA37B3"/>
    <w:rsid w:val="2DDA0375"/>
    <w:rsid w:val="2E8C6168"/>
    <w:rsid w:val="2F0E0B67"/>
    <w:rsid w:val="2F116900"/>
    <w:rsid w:val="2F12301B"/>
    <w:rsid w:val="2F2A085D"/>
    <w:rsid w:val="2FD6310C"/>
    <w:rsid w:val="30475B03"/>
    <w:rsid w:val="31C75BFC"/>
    <w:rsid w:val="31E056B1"/>
    <w:rsid w:val="322C2A29"/>
    <w:rsid w:val="32415C43"/>
    <w:rsid w:val="324E00CB"/>
    <w:rsid w:val="336D52FF"/>
    <w:rsid w:val="33935B44"/>
    <w:rsid w:val="34DA23B5"/>
    <w:rsid w:val="357B5200"/>
    <w:rsid w:val="35DD5710"/>
    <w:rsid w:val="36AB3566"/>
    <w:rsid w:val="36F25200"/>
    <w:rsid w:val="37FC6D3C"/>
    <w:rsid w:val="38CF6C67"/>
    <w:rsid w:val="399E4444"/>
    <w:rsid w:val="39F6064F"/>
    <w:rsid w:val="3A027D9F"/>
    <w:rsid w:val="3AAA3917"/>
    <w:rsid w:val="3ADD3456"/>
    <w:rsid w:val="3B4B5EE5"/>
    <w:rsid w:val="3B971312"/>
    <w:rsid w:val="3BA20ED0"/>
    <w:rsid w:val="3C64337B"/>
    <w:rsid w:val="3D255EAC"/>
    <w:rsid w:val="3DA22932"/>
    <w:rsid w:val="3E1E4076"/>
    <w:rsid w:val="3F806480"/>
    <w:rsid w:val="427A2742"/>
    <w:rsid w:val="42EA597B"/>
    <w:rsid w:val="435B5C38"/>
    <w:rsid w:val="43FD38FB"/>
    <w:rsid w:val="4411464B"/>
    <w:rsid w:val="441E338F"/>
    <w:rsid w:val="443156C4"/>
    <w:rsid w:val="44B831E3"/>
    <w:rsid w:val="44DF77BD"/>
    <w:rsid w:val="45AB4CC4"/>
    <w:rsid w:val="45C431C7"/>
    <w:rsid w:val="45F91CA4"/>
    <w:rsid w:val="467458A4"/>
    <w:rsid w:val="46F04E55"/>
    <w:rsid w:val="47444D75"/>
    <w:rsid w:val="48C81FD4"/>
    <w:rsid w:val="48E803B4"/>
    <w:rsid w:val="48F025F5"/>
    <w:rsid w:val="498F7B0C"/>
    <w:rsid w:val="4A1A4C1E"/>
    <w:rsid w:val="4A6A4F1F"/>
    <w:rsid w:val="4AE905BD"/>
    <w:rsid w:val="4AF905C9"/>
    <w:rsid w:val="4B4357DF"/>
    <w:rsid w:val="4C192B2B"/>
    <w:rsid w:val="4C5A31D0"/>
    <w:rsid w:val="4C667968"/>
    <w:rsid w:val="4D094EC3"/>
    <w:rsid w:val="4D3F2AD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6D68DF"/>
    <w:rsid w:val="5691060A"/>
    <w:rsid w:val="56B1772C"/>
    <w:rsid w:val="56F47B21"/>
    <w:rsid w:val="572063DD"/>
    <w:rsid w:val="573C5230"/>
    <w:rsid w:val="58375B00"/>
    <w:rsid w:val="584B5BE4"/>
    <w:rsid w:val="58905DEE"/>
    <w:rsid w:val="5901420E"/>
    <w:rsid w:val="59C232FC"/>
    <w:rsid w:val="59D3326C"/>
    <w:rsid w:val="5AA4447D"/>
    <w:rsid w:val="5AC63350"/>
    <w:rsid w:val="5ADB6F33"/>
    <w:rsid w:val="5BC27203"/>
    <w:rsid w:val="5C2C4CF4"/>
    <w:rsid w:val="5C4E7ACC"/>
    <w:rsid w:val="5C57765F"/>
    <w:rsid w:val="5CDC79F3"/>
    <w:rsid w:val="5D7E2CB1"/>
    <w:rsid w:val="5F3F5BA7"/>
    <w:rsid w:val="5F9C5684"/>
    <w:rsid w:val="5FAB2C98"/>
    <w:rsid w:val="5FF6089C"/>
    <w:rsid w:val="6005277B"/>
    <w:rsid w:val="603D5D93"/>
    <w:rsid w:val="622D6AC7"/>
    <w:rsid w:val="62835C1F"/>
    <w:rsid w:val="62AA68DE"/>
    <w:rsid w:val="632736DB"/>
    <w:rsid w:val="635A475F"/>
    <w:rsid w:val="64044C31"/>
    <w:rsid w:val="65BC61A8"/>
    <w:rsid w:val="65DC34B4"/>
    <w:rsid w:val="65F451AE"/>
    <w:rsid w:val="65FD0BBB"/>
    <w:rsid w:val="66652CD4"/>
    <w:rsid w:val="66CC61C3"/>
    <w:rsid w:val="66D009FC"/>
    <w:rsid w:val="66E13CC8"/>
    <w:rsid w:val="67F65E7C"/>
    <w:rsid w:val="682F0B15"/>
    <w:rsid w:val="684B69E3"/>
    <w:rsid w:val="68D54020"/>
    <w:rsid w:val="68E75513"/>
    <w:rsid w:val="698836FF"/>
    <w:rsid w:val="6A0B44CE"/>
    <w:rsid w:val="6A7004ED"/>
    <w:rsid w:val="6AFA6AA0"/>
    <w:rsid w:val="6B883AD8"/>
    <w:rsid w:val="6C580329"/>
    <w:rsid w:val="6C5917C2"/>
    <w:rsid w:val="6C801654"/>
    <w:rsid w:val="6E8E64EB"/>
    <w:rsid w:val="6F462AF9"/>
    <w:rsid w:val="6FB86553"/>
    <w:rsid w:val="70260E8E"/>
    <w:rsid w:val="7128436B"/>
    <w:rsid w:val="72124A65"/>
    <w:rsid w:val="73640109"/>
    <w:rsid w:val="73A42611"/>
    <w:rsid w:val="73BE5F83"/>
    <w:rsid w:val="73D310AA"/>
    <w:rsid w:val="750E512E"/>
    <w:rsid w:val="75AC5B7C"/>
    <w:rsid w:val="75F4747B"/>
    <w:rsid w:val="76427C85"/>
    <w:rsid w:val="772228AB"/>
    <w:rsid w:val="77DD2899"/>
    <w:rsid w:val="78A56A3C"/>
    <w:rsid w:val="78C220A2"/>
    <w:rsid w:val="78EF5160"/>
    <w:rsid w:val="791436BF"/>
    <w:rsid w:val="7A3410D9"/>
    <w:rsid w:val="7AA11235"/>
    <w:rsid w:val="7AC60D95"/>
    <w:rsid w:val="7B241064"/>
    <w:rsid w:val="7CB25553"/>
    <w:rsid w:val="7CCA39E8"/>
    <w:rsid w:val="7D147E0C"/>
    <w:rsid w:val="7F0C7452"/>
    <w:rsid w:val="7F15366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4"/>
    <w:autoRedefine/>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7"/>
    <w:autoRedefine/>
    <w:qFormat/>
    <w:uiPriority w:val="0"/>
    <w:pPr>
      <w:spacing w:after="120"/>
    </w:pPr>
    <w:rPr>
      <w:szCs w:val="22"/>
    </w:rPr>
  </w:style>
  <w:style w:type="paragraph" w:styleId="7">
    <w:name w:val="Body Text First Indent"/>
    <w:basedOn w:val="6"/>
    <w:autoRedefine/>
    <w:qFormat/>
    <w:uiPriority w:val="0"/>
    <w:pPr>
      <w:ind w:firstLine="420" w:firstLineChars="100"/>
    </w:p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20550</Words>
  <Characters>21549</Characters>
  <Lines>0</Lines>
  <Paragraphs>0</Paragraphs>
  <TotalTime>2</TotalTime>
  <ScaleCrop>false</ScaleCrop>
  <LinksUpToDate>false</LinksUpToDate>
  <CharactersWithSpaces>22679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2024-09-03T01:38:00Z</cp:lastPrinted>
  <dcterms:modified xsi:type="dcterms:W3CDTF">2025-09-05T02:10:48Z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