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ind w:left="0" w:leftChars="0" w:right="-369" w:rightChars="-176" w:firstLine="0" w:firstLineChars="0"/>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消防设施设备一批（含安装）（三次）</w:t>
      </w:r>
    </w:p>
    <w:p w14:paraId="03AD8405">
      <w:pPr>
        <w:pStyle w:val="30"/>
        <w:jc w:val="center"/>
        <w:outlineLvl w:val="2"/>
      </w:pPr>
      <w:r>
        <w:rPr>
          <w:b/>
          <w:sz w:val="28"/>
        </w:rPr>
        <w:t>采购项目编号：</w:t>
      </w:r>
      <w:r>
        <w:rPr>
          <w:rFonts w:hint="eastAsia" w:ascii="宋体"/>
          <w:b/>
          <w:sz w:val="30"/>
          <w:szCs w:val="30"/>
          <w:lang w:eastAsia="zh-CN"/>
        </w:rPr>
        <w:t>LYC-2025-038</w:t>
      </w:r>
      <w:r>
        <w:rPr>
          <w:rFonts w:hint="eastAsia" w:ascii="宋体"/>
          <w:b/>
          <w:sz w:val="30"/>
          <w:szCs w:val="30"/>
          <w:lang w:val="en-US" w:eastAsia="zh-CN"/>
        </w:rPr>
        <w:t xml:space="preserve"> </w:t>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26</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91A5A4A">
      <w:pPr>
        <w:pStyle w:val="30"/>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LYC-2025-038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消防设施设备一批（含安装）（三次）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8.9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color w:val="auto"/>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color w:val="auto"/>
          <w:sz w:val="24"/>
          <w:szCs w:val="28"/>
        </w:rPr>
        <w:t>章。</w:t>
      </w:r>
      <w:r>
        <w:rPr>
          <w:rFonts w:hint="eastAsia" w:ascii="宋体" w:hAnsi="宋体"/>
          <w:b w:val="0"/>
          <w:bCs w:val="0"/>
          <w:color w:val="auto"/>
          <w:sz w:val="24"/>
          <w:szCs w:val="28"/>
          <w:lang w:eastAsia="zh-CN"/>
        </w:rPr>
        <w:t>特别说明</w:t>
      </w:r>
      <w:r>
        <w:rPr>
          <w:rFonts w:hint="eastAsia" w:ascii="宋体" w:hAnsi="宋体"/>
          <w:color w:val="auto"/>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color w:val="auto"/>
          <w:sz w:val="24"/>
          <w:lang w:val="en-US" w:eastAsia="zh-CN"/>
        </w:rPr>
      </w:pPr>
      <w:r>
        <w:rPr>
          <w:rFonts w:hint="eastAsia" w:ascii="宋体" w:hAnsi="宋体"/>
          <w:b/>
          <w:bCs/>
          <w:color w:val="auto"/>
          <w:sz w:val="24"/>
          <w:lang w:eastAsia="zh-CN"/>
        </w:rPr>
        <w:t>四</w:t>
      </w:r>
      <w:r>
        <w:rPr>
          <w:rFonts w:hint="eastAsia" w:ascii="宋体" w:hAnsi="宋体"/>
          <w:b/>
          <w:bCs/>
          <w:color w:val="auto"/>
          <w:sz w:val="24"/>
        </w:rPr>
        <w:t>、供应商邀请方式</w:t>
      </w:r>
    </w:p>
    <w:p w14:paraId="64B16572">
      <w:pPr>
        <w:spacing w:line="440" w:lineRule="exact"/>
        <w:ind w:firstLine="480" w:firstLineChars="200"/>
        <w:rPr>
          <w:rFonts w:hint="eastAsia" w:ascii="宋体" w:hAnsi="宋体" w:eastAsia="宋体" w:cs="Times New Roman"/>
          <w:bCs/>
          <w:color w:val="auto"/>
          <w:sz w:val="24"/>
          <w:lang w:eastAsia="zh-CN"/>
        </w:rPr>
      </w:pPr>
      <w:r>
        <w:rPr>
          <w:rFonts w:hint="eastAsia" w:ascii="宋体" w:hAnsi="宋体"/>
          <w:bCs/>
          <w:color w:val="auto"/>
          <w:sz w:val="24"/>
        </w:rPr>
        <w:t>本次</w:t>
      </w:r>
      <w:r>
        <w:rPr>
          <w:rFonts w:hint="eastAsia" w:ascii="宋体" w:hAnsi="宋体"/>
          <w:bCs/>
          <w:color w:val="auto"/>
          <w:sz w:val="24"/>
          <w:lang w:eastAsia="zh-CN"/>
        </w:rPr>
        <w:t>询价</w:t>
      </w:r>
      <w:r>
        <w:rPr>
          <w:rFonts w:hint="eastAsia" w:ascii="宋体" w:hAnsi="宋体"/>
          <w:bCs/>
          <w:color w:val="auto"/>
          <w:sz w:val="24"/>
        </w:rPr>
        <w:t>邀请在</w:t>
      </w:r>
      <w:r>
        <w:rPr>
          <w:rFonts w:hint="eastAsia" w:ascii="宋体" w:hAnsi="宋体"/>
          <w:bCs/>
          <w:color w:val="auto"/>
          <w:sz w:val="24"/>
          <w:lang w:eastAsia="zh-CN"/>
        </w:rPr>
        <w:t>邻水县人民医院官网（https://www.lsxrmyy.cn/）</w:t>
      </w:r>
      <w:r>
        <w:rPr>
          <w:rFonts w:hint="eastAsia" w:ascii="宋体" w:hAnsi="宋体" w:eastAsia="宋体" w:cs="Times New Roman"/>
          <w:bCs/>
          <w:color w:val="auto"/>
          <w:sz w:val="24"/>
          <w:lang w:eastAsia="zh-CN"/>
        </w:rPr>
        <w:t>或广安公共资源交易网（https://gasggzy.cn/）上以公告形式发布。</w:t>
      </w:r>
    </w:p>
    <w:p w14:paraId="4307E43D">
      <w:pPr>
        <w:spacing w:line="440" w:lineRule="exact"/>
        <w:ind w:firstLine="480" w:firstLineChars="200"/>
        <w:rPr>
          <w:rFonts w:hint="eastAsia" w:ascii="宋体" w:hAnsi="宋体"/>
          <w:b/>
          <w:bCs/>
          <w:color w:val="auto"/>
          <w:sz w:val="24"/>
        </w:rPr>
      </w:pPr>
      <w:r>
        <w:rPr>
          <w:rFonts w:hint="eastAsia" w:ascii="宋体" w:hAnsi="宋体"/>
          <w:b/>
          <w:bCs/>
          <w:color w:val="auto"/>
          <w:sz w:val="24"/>
          <w:lang w:eastAsia="zh-CN"/>
        </w:rPr>
        <w:t>五、</w:t>
      </w:r>
      <w:r>
        <w:rPr>
          <w:rFonts w:hint="eastAsia" w:ascii="宋体" w:hAnsi="宋体"/>
          <w:b/>
          <w:bCs/>
          <w:color w:val="auto"/>
          <w:sz w:val="24"/>
        </w:rPr>
        <w:t>供应商参加本次采购活动应具备下列条件：</w:t>
      </w:r>
    </w:p>
    <w:p w14:paraId="402303D2">
      <w:pPr>
        <w:adjustRightInd w:val="0"/>
        <w:spacing w:line="360" w:lineRule="auto"/>
        <w:ind w:firstLine="480" w:firstLineChars="200"/>
        <w:rPr>
          <w:rFonts w:hint="eastAsia" w:ascii="宋体" w:hAnsi="宋体"/>
          <w:color w:val="auto"/>
          <w:sz w:val="24"/>
          <w:szCs w:val="22"/>
        </w:rPr>
      </w:pPr>
      <w:r>
        <w:rPr>
          <w:rFonts w:hint="eastAsia" w:ascii="宋体" w:hAnsi="宋体"/>
          <w:color w:val="auto"/>
          <w:sz w:val="24"/>
        </w:rPr>
        <w:t>1.满足《中华人民共和国政府采购法》第二十二条规定：（</w:t>
      </w:r>
      <w:r>
        <w:rPr>
          <w:rFonts w:hint="eastAsia" w:ascii="宋体" w:hAnsi="宋体"/>
          <w:color w:val="auto"/>
          <w:sz w:val="24"/>
          <w:szCs w:val="22"/>
        </w:rPr>
        <w:t>1</w:t>
      </w:r>
      <w:r>
        <w:rPr>
          <w:rFonts w:hint="eastAsia" w:ascii="宋体" w:hAnsi="宋体"/>
          <w:color w:val="auto"/>
          <w:sz w:val="24"/>
        </w:rPr>
        <w:t>）</w:t>
      </w:r>
      <w:r>
        <w:rPr>
          <w:rFonts w:hint="eastAsia" w:ascii="宋体" w:hAnsi="宋体"/>
          <w:color w:val="auto"/>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color w:val="auto"/>
          <w:sz w:val="24"/>
          <w:szCs w:val="22"/>
        </w:rPr>
      </w:pPr>
      <w:r>
        <w:rPr>
          <w:rFonts w:hint="eastAsia" w:ascii="宋体" w:hAnsi="宋体" w:cs="Times New Roman"/>
          <w:color w:val="auto"/>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rPr>
        <w:t>3.本项目的特定资格要</w:t>
      </w:r>
      <w:r>
        <w:rPr>
          <w:rFonts w:hint="eastAsia" w:ascii="宋体" w:hAnsi="宋体" w:eastAsia="宋体" w:cs="Times New Roman"/>
          <w:color w:val="auto"/>
          <w:sz w:val="24"/>
          <w:szCs w:val="22"/>
        </w:rPr>
        <w:t>求：</w:t>
      </w:r>
      <w:r>
        <w:rPr>
          <w:rFonts w:hint="eastAsia" w:ascii="宋体" w:hAnsi="宋体" w:eastAsia="宋体" w:cs="Times New Roman"/>
          <w:color w:val="auto"/>
          <w:sz w:val="24"/>
          <w:szCs w:val="22"/>
          <w:lang w:eastAsia="zh-CN"/>
        </w:rPr>
        <w:t>具有承接消防设施系统施工安装的技术能力和资质要求</w:t>
      </w:r>
      <w:r>
        <w:rPr>
          <w:rFonts w:hint="eastAsia" w:ascii="宋体" w:hAnsi="宋体" w:eastAsia="宋体" w:cs="Times New Roman"/>
          <w:color w:val="auto"/>
          <w:sz w:val="24"/>
          <w:szCs w:val="22"/>
          <w:lang w:val="en-US" w:eastAsia="zh-CN"/>
        </w:rPr>
        <w:t>。</w:t>
      </w:r>
    </w:p>
    <w:p w14:paraId="20D55FE1">
      <w:pPr>
        <w:pStyle w:val="6"/>
        <w:spacing w:line="500" w:lineRule="exact"/>
        <w:ind w:firstLine="480" w:firstLineChars="200"/>
        <w:rPr>
          <w:rFonts w:hint="eastAsia" w:eastAsia="宋体"/>
          <w:color w:val="auto"/>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color w:val="auto"/>
          <w:sz w:val="24"/>
          <w:szCs w:val="24"/>
        </w:rPr>
        <w:t>487671930</w:t>
      </w:r>
      <w:r>
        <w:rPr>
          <w:rFonts w:hint="eastAsia" w:ascii="宋体" w:hAnsi="宋体" w:eastAsia="宋体" w:cs="宋体"/>
          <w:color w:val="auto"/>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梁老师</w:t>
      </w:r>
      <w:r>
        <w:rPr>
          <w:rFonts w:hint="eastAsia"/>
          <w:sz w:val="24"/>
          <w:lang w:val="en-US" w:eastAsia="zh-CN"/>
        </w:rPr>
        <w:tab/>
      </w:r>
    </w:p>
    <w:p w14:paraId="2D0F87E9">
      <w:pPr>
        <w:pStyle w:val="22"/>
        <w:spacing w:line="440" w:lineRule="exact"/>
        <w:ind w:firstLine="1200" w:firstLineChars="500"/>
        <w:rPr>
          <w:rFonts w:hint="default"/>
          <w:sz w:val="24"/>
          <w:lang w:val="en-US" w:eastAsia="zh-CN"/>
        </w:rPr>
      </w:pPr>
      <w:r>
        <w:rPr>
          <w:rFonts w:hint="eastAsia"/>
          <w:sz w:val="24"/>
        </w:rPr>
        <w:t>联系电话：</w:t>
      </w:r>
      <w:r>
        <w:rPr>
          <w:rFonts w:hint="eastAsia"/>
          <w:sz w:val="24"/>
          <w:szCs w:val="24"/>
          <w:lang w:val="en-US" w:eastAsia="zh-CN"/>
        </w:rPr>
        <w:t>18384510773</w:t>
      </w:r>
      <w:r>
        <w:rPr>
          <w:rFonts w:hint="eastAsia"/>
          <w:sz w:val="24"/>
          <w:lang w:val="en-US" w:eastAsia="zh-CN"/>
        </w:rPr>
        <w:t xml:space="preserve">       15182698003 </w:t>
      </w:r>
    </w:p>
    <w:p w14:paraId="29538C5F">
      <w:pPr>
        <w:pStyle w:val="22"/>
        <w:spacing w:line="440" w:lineRule="exact"/>
        <w:ind w:firstLine="1200" w:firstLineChars="500"/>
        <w:rPr>
          <w:rFonts w:hint="default"/>
          <w:sz w:val="24"/>
          <w:lang w:val="en-US" w:eastAsia="zh-CN"/>
        </w:rPr>
      </w:pPr>
    </w:p>
    <w:p w14:paraId="016FA503">
      <w:pPr>
        <w:pStyle w:val="15"/>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30"/>
            </w:pPr>
            <w:r>
              <w:t>序号</w:t>
            </w:r>
          </w:p>
        </w:tc>
        <w:tc>
          <w:tcPr>
            <w:tcW w:w="2252"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30"/>
            </w:pPr>
            <w:r>
              <w:t>1</w:t>
            </w:r>
          </w:p>
        </w:tc>
        <w:tc>
          <w:tcPr>
            <w:tcW w:w="2252" w:type="dxa"/>
          </w:tcPr>
          <w:p w14:paraId="4F5AD559">
            <w:pPr>
              <w:pStyle w:val="30"/>
            </w:pPr>
            <w:r>
              <w:t>采购预算（实质性要求）</w:t>
            </w:r>
          </w:p>
        </w:tc>
        <w:tc>
          <w:tcPr>
            <w:tcW w:w="5184" w:type="dxa"/>
          </w:tcPr>
          <w:p w14:paraId="02942696">
            <w:pPr>
              <w:pStyle w:val="30"/>
            </w:pPr>
            <w:r>
              <w:t>本项目采购预算金额如下：</w:t>
            </w:r>
          </w:p>
          <w:p w14:paraId="0B86A25B">
            <w:pPr>
              <w:pStyle w:val="30"/>
            </w:pPr>
            <w:r>
              <w:rPr>
                <w:rFonts w:hint="eastAsia"/>
                <w:lang w:val="en-US" w:eastAsia="zh-CN"/>
              </w:rPr>
              <w:t>1000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30"/>
            </w:pPr>
            <w:r>
              <w:t>2</w:t>
            </w:r>
          </w:p>
        </w:tc>
        <w:tc>
          <w:tcPr>
            <w:tcW w:w="2252" w:type="dxa"/>
          </w:tcPr>
          <w:p w14:paraId="6185B780">
            <w:pPr>
              <w:pStyle w:val="30"/>
            </w:pPr>
            <w:r>
              <w:t>最高限价（实质性要求）</w:t>
            </w:r>
          </w:p>
        </w:tc>
        <w:tc>
          <w:tcPr>
            <w:tcW w:w="5184" w:type="dxa"/>
          </w:tcPr>
          <w:p w14:paraId="7CF6F62E">
            <w:pPr>
              <w:pStyle w:val="30"/>
            </w:pPr>
            <w:r>
              <w:t>本项目采购预算金额如下：</w:t>
            </w:r>
          </w:p>
          <w:p w14:paraId="0E38699D">
            <w:pPr>
              <w:pStyle w:val="30"/>
            </w:pPr>
            <w:r>
              <w:rPr>
                <w:rFonts w:hint="eastAsia"/>
                <w:highlight w:val="none"/>
                <w:lang w:val="en-US" w:eastAsia="zh-CN"/>
              </w:rPr>
              <w:t>890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30"/>
            </w:pPr>
            <w:r>
              <w:t>3</w:t>
            </w:r>
          </w:p>
        </w:tc>
        <w:tc>
          <w:tcPr>
            <w:tcW w:w="2252"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30"/>
            </w:pPr>
            <w:r>
              <w:t>4</w:t>
            </w:r>
          </w:p>
        </w:tc>
        <w:tc>
          <w:tcPr>
            <w:tcW w:w="2252"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30"/>
              <w:rPr>
                <w:rFonts w:hint="eastAsia" w:eastAsiaTheme="minorEastAsia"/>
                <w:lang w:eastAsia="zh-CN"/>
              </w:rPr>
            </w:pPr>
            <w:r>
              <w:rPr>
                <w:rFonts w:hint="eastAsia"/>
                <w:lang w:val="en-US" w:eastAsia="zh-CN"/>
              </w:rPr>
              <w:t>5</w:t>
            </w:r>
          </w:p>
        </w:tc>
        <w:tc>
          <w:tcPr>
            <w:tcW w:w="2252"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30"/>
              <w:rPr>
                <w:rFonts w:hint="eastAsia" w:eastAsiaTheme="minorEastAsia"/>
                <w:lang w:eastAsia="zh-CN"/>
              </w:rPr>
            </w:pPr>
            <w:r>
              <w:rPr>
                <w:rFonts w:hint="eastAsia"/>
                <w:lang w:val="en-US" w:eastAsia="zh-CN"/>
              </w:rPr>
              <w:t>6</w:t>
            </w:r>
          </w:p>
        </w:tc>
        <w:tc>
          <w:tcPr>
            <w:tcW w:w="2252"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30"/>
              <w:rPr>
                <w:rFonts w:hint="eastAsia" w:eastAsiaTheme="minorEastAsia"/>
                <w:lang w:eastAsia="zh-CN"/>
              </w:rPr>
            </w:pPr>
            <w:r>
              <w:rPr>
                <w:rFonts w:hint="eastAsia"/>
                <w:lang w:val="en-US" w:eastAsia="zh-CN"/>
              </w:rPr>
              <w:t>7</w:t>
            </w:r>
          </w:p>
        </w:tc>
        <w:tc>
          <w:tcPr>
            <w:tcW w:w="2252"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30"/>
              <w:rPr>
                <w:rFonts w:hint="eastAsia" w:eastAsiaTheme="minorEastAsia"/>
                <w:lang w:eastAsia="zh-CN"/>
              </w:rPr>
            </w:pPr>
            <w:r>
              <w:rPr>
                <w:rFonts w:hint="eastAsia"/>
                <w:lang w:val="en-US" w:eastAsia="zh-CN"/>
              </w:rPr>
              <w:t>8</w:t>
            </w:r>
          </w:p>
        </w:tc>
        <w:tc>
          <w:tcPr>
            <w:tcW w:w="2252"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30"/>
              <w:rPr>
                <w:rFonts w:hint="eastAsia" w:eastAsiaTheme="minorEastAsia"/>
                <w:lang w:eastAsia="zh-CN"/>
              </w:rPr>
            </w:pPr>
            <w:r>
              <w:rPr>
                <w:rFonts w:hint="eastAsia"/>
                <w:lang w:val="en-US" w:eastAsia="zh-CN"/>
              </w:rPr>
              <w:t>9</w:t>
            </w:r>
          </w:p>
        </w:tc>
        <w:tc>
          <w:tcPr>
            <w:tcW w:w="2252"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30"/>
              <w:rPr>
                <w:rFonts w:hint="eastAsia" w:eastAsiaTheme="minorEastAsia"/>
                <w:lang w:eastAsia="zh-CN"/>
              </w:rPr>
            </w:pPr>
            <w:r>
              <w:t>1</w:t>
            </w:r>
            <w:r>
              <w:rPr>
                <w:rFonts w:hint="eastAsia"/>
                <w:lang w:val="en-US" w:eastAsia="zh-CN"/>
              </w:rPr>
              <w:t>0</w:t>
            </w:r>
          </w:p>
        </w:tc>
        <w:tc>
          <w:tcPr>
            <w:tcW w:w="2252"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30"/>
              <w:rPr>
                <w:rFonts w:hint="eastAsia" w:eastAsiaTheme="minorEastAsia"/>
                <w:lang w:eastAsia="zh-CN"/>
              </w:rPr>
            </w:pPr>
            <w:r>
              <w:t>1</w:t>
            </w:r>
            <w:r>
              <w:rPr>
                <w:rFonts w:hint="eastAsia"/>
                <w:lang w:val="en-US" w:eastAsia="zh-CN"/>
              </w:rPr>
              <w:t>1</w:t>
            </w:r>
          </w:p>
        </w:tc>
        <w:tc>
          <w:tcPr>
            <w:tcW w:w="2252"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30"/>
              <w:rPr>
                <w:rFonts w:hint="eastAsia" w:eastAsiaTheme="minorEastAsia"/>
                <w:lang w:eastAsia="zh-CN"/>
              </w:rPr>
            </w:pPr>
            <w:r>
              <w:t>1</w:t>
            </w:r>
            <w:r>
              <w:rPr>
                <w:rFonts w:hint="eastAsia"/>
                <w:lang w:val="en-US" w:eastAsia="zh-CN"/>
              </w:rPr>
              <w:t>2</w:t>
            </w:r>
          </w:p>
        </w:tc>
        <w:tc>
          <w:tcPr>
            <w:tcW w:w="2252"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30"/>
              <w:rPr>
                <w:rFonts w:hint="default" w:eastAsiaTheme="minorEastAsia"/>
                <w:lang w:val="en-US" w:eastAsia="zh-CN"/>
              </w:rPr>
            </w:pPr>
            <w:r>
              <w:rPr>
                <w:rFonts w:hint="eastAsia"/>
                <w:lang w:val="en-US" w:eastAsia="zh-CN"/>
              </w:rPr>
              <w:t>13</w:t>
            </w:r>
          </w:p>
        </w:tc>
        <w:tc>
          <w:tcPr>
            <w:tcW w:w="2252" w:type="dxa"/>
          </w:tcPr>
          <w:p w14:paraId="381912E1">
            <w:pPr>
              <w:pStyle w:val="30"/>
            </w:pPr>
            <w:r>
              <w:t>进口产品</w:t>
            </w:r>
          </w:p>
        </w:tc>
        <w:tc>
          <w:tcPr>
            <w:tcW w:w="5184" w:type="dxa"/>
          </w:tcPr>
          <w:p w14:paraId="135BE7AA">
            <w:pPr>
              <w:pStyle w:val="30"/>
            </w:pPr>
            <w:r>
              <w:t>不允许</w:t>
            </w:r>
          </w:p>
        </w:tc>
      </w:tr>
      <w:tr w14:paraId="13E4F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5A3578A1">
            <w:pPr>
              <w:pStyle w:val="30"/>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3226BC78">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58C9BB2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5C62FDB1">
      <w:pPr>
        <w:pStyle w:val="3"/>
        <w:keepNext w:val="0"/>
        <w:keepLines w:val="0"/>
        <w:spacing w:before="0" w:after="0" w:line="400" w:lineRule="exact"/>
        <w:jc w:val="center"/>
        <w:rPr>
          <w:rFonts w:hint="eastAsia" w:ascii="黑体"/>
          <w:bCs w:val="0"/>
        </w:rPr>
      </w:pPr>
      <w:bookmarkStart w:id="6" w:name="_Toc13038"/>
      <w:bookmarkStart w:id="7" w:name="_Toc24295"/>
      <w:bookmarkStart w:id="8" w:name="_Toc31240"/>
      <w:bookmarkStart w:id="9" w:name="_Toc15215"/>
      <w:bookmarkStart w:id="10" w:name="_Toc17067"/>
      <w:r>
        <w:rPr>
          <w:rFonts w:hint="eastAsia" w:ascii="黑体"/>
          <w:bCs w:val="0"/>
        </w:rPr>
        <w:t>二、总  则</w:t>
      </w: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宋体" w:hAnsi="Times New Roman" w:eastAsia="宋体" w:cs="Times New Roman"/>
          <w:b/>
          <w:bCs/>
          <w:color w:val="FF0000"/>
          <w:sz w:val="24"/>
          <w:highlight w:val="none"/>
          <w:lang w:val="en-US" w:eastAsia="zh-CN"/>
        </w:rPr>
        <w:t>室内消火栓（含配件</w:t>
      </w:r>
      <w:r>
        <w:rPr>
          <w:rFonts w:hint="eastAsia" w:cs="Times New Roman"/>
          <w:b/>
          <w:bCs/>
          <w:color w:val="FF0000"/>
          <w:sz w:val="24"/>
          <w:highlight w:val="none"/>
          <w:lang w:val="en-US" w:eastAsia="zh-CN"/>
        </w:rPr>
        <w:t>和安装</w:t>
      </w:r>
      <w:r>
        <w:rPr>
          <w:rFonts w:hint="eastAsia" w:ascii="宋体" w:hAnsi="Times New Roman" w:eastAsia="宋体" w:cs="Times New Roman"/>
          <w:b/>
          <w:bCs/>
          <w:color w:val="FF0000"/>
          <w:sz w:val="24"/>
          <w:highlight w:val="none"/>
          <w:lang w:val="en-US" w:eastAsia="zh-CN"/>
        </w:rPr>
        <w:t>）</w:t>
      </w:r>
      <w:r>
        <w:rPr>
          <w:rFonts w:hint="eastAsia" w:ascii="Times New Roman" w:eastAsia="方正仿宋_GBK" w:cs="方正仿宋_GBK"/>
          <w:b/>
          <w:bCs/>
          <w:color w:val="FF0000"/>
          <w:sz w:val="24"/>
          <w:szCs w:val="24"/>
          <w:highlight w:val="non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5.项目特殊资格要求：具有承接消防设施系统施工安装的技术能力和资质要求的相关证明材料。</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89075878"/>
      <w:bookmarkStart w:id="19" w:name="_Toc217446056"/>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消防设施设备一批（含安装）</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373"/>
        <w:gridCol w:w="1500"/>
        <w:gridCol w:w="1452"/>
        <w:gridCol w:w="137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373" w:type="dxa"/>
            <w:vAlign w:val="center"/>
          </w:tcPr>
          <w:p w14:paraId="2A37313D">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500" w:type="dxa"/>
            <w:vAlign w:val="center"/>
          </w:tcPr>
          <w:p w14:paraId="49BC57A7">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452" w:type="dxa"/>
            <w:vAlign w:val="center"/>
          </w:tcPr>
          <w:p w14:paraId="1AE277DC">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372" w:type="dxa"/>
            <w:vAlign w:val="center"/>
          </w:tcPr>
          <w:p w14:paraId="27286F65">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373" w:type="dxa"/>
            <w:shd w:val="clear" w:color="auto" w:fill="auto"/>
            <w:vAlign w:val="center"/>
          </w:tcPr>
          <w:p w14:paraId="00CF634F">
            <w:pPr>
              <w:keepNext w:val="0"/>
              <w:keepLines w:val="0"/>
              <w:pageBreakBefore w:val="0"/>
              <w:kinsoku/>
              <w:wordWrap/>
              <w:overflowPunct/>
              <w:topLinePunct w:val="0"/>
              <w:autoSpaceDE/>
              <w:autoSpaceDN/>
              <w:bidi w:val="0"/>
              <w:snapToGrid w:val="0"/>
              <w:spacing w:line="400" w:lineRule="exact"/>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val="en-US" w:eastAsia="zh-CN"/>
              </w:rPr>
              <w:t>室内消火栓</w:t>
            </w:r>
            <w:r>
              <w:rPr>
                <w:rFonts w:hint="eastAsia" w:ascii="Times New Roman" w:hAnsi="Times New Roman"/>
                <w:color w:val="FF0000"/>
                <w:kern w:val="0"/>
                <w:sz w:val="24"/>
                <w:szCs w:val="24"/>
                <w:u w:val="none"/>
                <w:lang w:val="en-US" w:eastAsia="zh-CN"/>
              </w:rPr>
              <w:t>（含热镀锌钢管、水带、水枪等</w:t>
            </w:r>
            <w:r>
              <w:rPr>
                <w:rFonts w:hint="eastAsia"/>
                <w:color w:val="FF0000"/>
                <w:kern w:val="0"/>
                <w:sz w:val="24"/>
                <w:szCs w:val="24"/>
                <w:u w:val="none"/>
                <w:lang w:val="en-US" w:eastAsia="zh-CN"/>
              </w:rPr>
              <w:t>配套的所有</w:t>
            </w:r>
            <w:r>
              <w:rPr>
                <w:rFonts w:hint="eastAsia" w:ascii="Times New Roman" w:hAnsi="Times New Roman"/>
                <w:color w:val="FF0000"/>
                <w:kern w:val="0"/>
                <w:sz w:val="24"/>
                <w:szCs w:val="24"/>
                <w:u w:val="none"/>
                <w:lang w:val="en-US" w:eastAsia="zh-CN"/>
              </w:rPr>
              <w:t>配件</w:t>
            </w:r>
            <w:r>
              <w:rPr>
                <w:rFonts w:hint="eastAsia"/>
                <w:color w:val="FF0000"/>
                <w:kern w:val="0"/>
                <w:sz w:val="24"/>
                <w:szCs w:val="24"/>
                <w:u w:val="none"/>
                <w:lang w:val="en-US" w:eastAsia="zh-CN"/>
              </w:rPr>
              <w:t>及安装</w:t>
            </w:r>
            <w:r>
              <w:rPr>
                <w:rFonts w:hint="eastAsia" w:ascii="Times New Roman" w:hAnsi="Times New Roman"/>
                <w:color w:val="FF0000"/>
                <w:kern w:val="0"/>
                <w:sz w:val="24"/>
                <w:szCs w:val="24"/>
                <w:u w:val="none"/>
                <w:lang w:val="en-US" w:eastAsia="zh-CN"/>
              </w:rPr>
              <w:t>）</w:t>
            </w:r>
          </w:p>
        </w:tc>
        <w:tc>
          <w:tcPr>
            <w:tcW w:w="1500" w:type="dxa"/>
            <w:shd w:val="clear" w:color="auto" w:fill="auto"/>
            <w:vAlign w:val="center"/>
          </w:tcPr>
          <w:p w14:paraId="60E52140">
            <w:pPr>
              <w:keepNext w:val="0"/>
              <w:keepLines w:val="0"/>
              <w:pageBreakBefore w:val="0"/>
              <w:kinsoku/>
              <w:wordWrap/>
              <w:overflowPunct/>
              <w:topLinePunct w:val="0"/>
              <w:autoSpaceDE/>
              <w:autoSpaceDN/>
              <w:bidi w:val="0"/>
              <w:snapToGrid w:val="0"/>
              <w:spacing w:line="400" w:lineRule="exact"/>
              <w:ind w:left="0" w:leftChars="0" w:firstLine="0" w:firstLineChars="0"/>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val="en-US" w:eastAsia="zh-CN"/>
              </w:rPr>
              <w:t>套</w:t>
            </w:r>
          </w:p>
        </w:tc>
        <w:tc>
          <w:tcPr>
            <w:tcW w:w="145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35</w:t>
            </w:r>
          </w:p>
        </w:tc>
        <w:tc>
          <w:tcPr>
            <w:tcW w:w="1372"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FCF1A19">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2</w:t>
            </w:r>
          </w:p>
        </w:tc>
        <w:tc>
          <w:tcPr>
            <w:tcW w:w="3373" w:type="dxa"/>
            <w:shd w:val="clear" w:color="auto" w:fill="auto"/>
            <w:vAlign w:val="center"/>
          </w:tcPr>
          <w:p w14:paraId="10DE227B">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eastAsia="zh-CN"/>
              </w:rPr>
              <w:t>干粉灭火器（</w:t>
            </w:r>
            <w:r>
              <w:rPr>
                <w:rFonts w:hint="eastAsia" w:ascii="Times New Roman" w:hAnsi="Times New Roman"/>
                <w:color w:val="000000"/>
                <w:kern w:val="0"/>
                <w:sz w:val="24"/>
                <w:szCs w:val="24"/>
                <w:u w:val="none"/>
                <w:lang w:val="en-US" w:eastAsia="zh-CN"/>
              </w:rPr>
              <w:t>5KG)</w:t>
            </w:r>
            <w:r>
              <w:rPr>
                <w:rFonts w:hint="eastAsia"/>
                <w:color w:val="FF0000"/>
                <w:kern w:val="0"/>
                <w:sz w:val="24"/>
                <w:szCs w:val="24"/>
                <w:u w:val="none"/>
                <w:lang w:val="en-US" w:eastAsia="zh-CN"/>
              </w:rPr>
              <w:t>（含安装）</w:t>
            </w:r>
          </w:p>
        </w:tc>
        <w:tc>
          <w:tcPr>
            <w:tcW w:w="1500" w:type="dxa"/>
            <w:shd w:val="clear" w:color="auto" w:fill="auto"/>
            <w:vAlign w:val="center"/>
          </w:tcPr>
          <w:p w14:paraId="16F51430">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val="en-US" w:eastAsia="zh-CN"/>
              </w:rPr>
              <w:t>具</w:t>
            </w:r>
          </w:p>
        </w:tc>
        <w:tc>
          <w:tcPr>
            <w:tcW w:w="1452" w:type="dxa"/>
            <w:tcBorders>
              <w:top w:val="single" w:color="auto" w:sz="4" w:space="0"/>
              <w:bottom w:val="single" w:color="auto" w:sz="4" w:space="0"/>
            </w:tcBorders>
            <w:shd w:val="clear" w:color="auto" w:fill="auto"/>
            <w:vAlign w:val="center"/>
          </w:tcPr>
          <w:p w14:paraId="57FA6834">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70</w:t>
            </w:r>
          </w:p>
        </w:tc>
        <w:tc>
          <w:tcPr>
            <w:tcW w:w="1372"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5BBD3E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3</w:t>
            </w:r>
          </w:p>
        </w:tc>
        <w:tc>
          <w:tcPr>
            <w:tcW w:w="3373" w:type="dxa"/>
            <w:shd w:val="clear" w:color="auto" w:fill="auto"/>
            <w:vAlign w:val="center"/>
          </w:tcPr>
          <w:p w14:paraId="635DFFDC">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eastAsia="zh-CN"/>
              </w:rPr>
              <w:t>干粉灭火器</w:t>
            </w:r>
            <w:r>
              <w:rPr>
                <w:rFonts w:hint="eastAsia" w:ascii="Times New Roman" w:hAnsi="Times New Roman"/>
                <w:color w:val="000000"/>
                <w:kern w:val="0"/>
                <w:sz w:val="24"/>
                <w:szCs w:val="24"/>
                <w:u w:val="none"/>
                <w:lang w:val="en-US" w:eastAsia="zh-CN"/>
              </w:rPr>
              <w:t>箱子</w:t>
            </w:r>
            <w:r>
              <w:rPr>
                <w:rFonts w:hint="eastAsia"/>
                <w:color w:val="000000"/>
                <w:kern w:val="0"/>
                <w:sz w:val="24"/>
                <w:szCs w:val="24"/>
                <w:u w:val="none"/>
                <w:lang w:val="en-US" w:eastAsia="zh-CN"/>
              </w:rPr>
              <w:t>（5KG）</w:t>
            </w:r>
          </w:p>
        </w:tc>
        <w:tc>
          <w:tcPr>
            <w:tcW w:w="1500" w:type="dxa"/>
            <w:shd w:val="clear" w:color="auto" w:fill="auto"/>
            <w:vAlign w:val="center"/>
          </w:tcPr>
          <w:p w14:paraId="15E33050">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olor w:val="000000"/>
                <w:sz w:val="24"/>
                <w:szCs w:val="24"/>
                <w:u w:val="none"/>
                <w:lang w:val="en-US" w:eastAsia="zh-CN"/>
              </w:rPr>
              <w:t>个</w:t>
            </w:r>
          </w:p>
        </w:tc>
        <w:tc>
          <w:tcPr>
            <w:tcW w:w="1452" w:type="dxa"/>
            <w:tcBorders>
              <w:top w:val="single" w:color="auto" w:sz="4" w:space="0"/>
              <w:bottom w:val="single" w:color="auto" w:sz="4" w:space="0"/>
            </w:tcBorders>
            <w:shd w:val="clear" w:color="auto" w:fill="auto"/>
            <w:vAlign w:val="center"/>
          </w:tcPr>
          <w:p w14:paraId="6FD2C90A">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35</w:t>
            </w:r>
          </w:p>
        </w:tc>
        <w:tc>
          <w:tcPr>
            <w:tcW w:w="1372"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D879D36">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4</w:t>
            </w:r>
          </w:p>
        </w:tc>
        <w:tc>
          <w:tcPr>
            <w:tcW w:w="3373" w:type="dxa"/>
            <w:shd w:val="clear" w:color="auto" w:fill="auto"/>
            <w:vAlign w:val="center"/>
          </w:tcPr>
          <w:p w14:paraId="26CEE6C6">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消防应急灯</w:t>
            </w:r>
            <w:r>
              <w:rPr>
                <w:rFonts w:hint="eastAsia"/>
                <w:color w:val="FF0000"/>
                <w:sz w:val="24"/>
                <w:szCs w:val="24"/>
                <w:lang w:val="en-US" w:eastAsia="zh-CN"/>
              </w:rPr>
              <w:t>（含配套的辅材及安装）</w:t>
            </w:r>
          </w:p>
        </w:tc>
        <w:tc>
          <w:tcPr>
            <w:tcW w:w="1500" w:type="dxa"/>
            <w:shd w:val="clear" w:color="auto" w:fill="auto"/>
            <w:vAlign w:val="center"/>
          </w:tcPr>
          <w:p w14:paraId="0D2DCEC8">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olor w:val="000000"/>
                <w:sz w:val="24"/>
                <w:szCs w:val="24"/>
                <w:u w:val="none"/>
                <w:lang w:val="en-US" w:eastAsia="zh-CN"/>
              </w:rPr>
              <w:t>个</w:t>
            </w:r>
          </w:p>
        </w:tc>
        <w:tc>
          <w:tcPr>
            <w:tcW w:w="1452" w:type="dxa"/>
            <w:tcBorders>
              <w:top w:val="single" w:color="auto" w:sz="4" w:space="0"/>
              <w:bottom w:val="single" w:color="auto" w:sz="4" w:space="0"/>
            </w:tcBorders>
            <w:shd w:val="clear" w:color="auto" w:fill="auto"/>
            <w:vAlign w:val="center"/>
          </w:tcPr>
          <w:p w14:paraId="516566A5">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70</w:t>
            </w:r>
          </w:p>
        </w:tc>
        <w:tc>
          <w:tcPr>
            <w:tcW w:w="1372"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B5982C6">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5</w:t>
            </w:r>
          </w:p>
        </w:tc>
        <w:tc>
          <w:tcPr>
            <w:tcW w:w="3373" w:type="dxa"/>
            <w:shd w:val="clear" w:color="auto" w:fill="auto"/>
            <w:vAlign w:val="center"/>
          </w:tcPr>
          <w:p w14:paraId="65A52FCC">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疏散指示标识</w:t>
            </w:r>
            <w:r>
              <w:rPr>
                <w:rFonts w:hint="eastAsia"/>
                <w:color w:val="FF0000"/>
                <w:sz w:val="24"/>
                <w:szCs w:val="24"/>
                <w:lang w:eastAsia="zh-CN"/>
              </w:rPr>
              <w:t>（</w:t>
            </w:r>
            <w:r>
              <w:rPr>
                <w:rFonts w:hint="eastAsia"/>
                <w:color w:val="FF0000"/>
                <w:sz w:val="24"/>
                <w:szCs w:val="24"/>
                <w:lang w:val="en-US" w:eastAsia="zh-CN"/>
              </w:rPr>
              <w:t>含配套的辅材及安装）</w:t>
            </w:r>
          </w:p>
        </w:tc>
        <w:tc>
          <w:tcPr>
            <w:tcW w:w="1500" w:type="dxa"/>
            <w:shd w:val="clear" w:color="auto" w:fill="auto"/>
            <w:vAlign w:val="center"/>
          </w:tcPr>
          <w:p w14:paraId="230AFF6D">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olor w:val="000000"/>
                <w:sz w:val="24"/>
                <w:szCs w:val="24"/>
                <w:u w:val="none"/>
                <w:lang w:val="en-US" w:eastAsia="zh-CN"/>
              </w:rPr>
              <w:t>个</w:t>
            </w:r>
          </w:p>
        </w:tc>
        <w:tc>
          <w:tcPr>
            <w:tcW w:w="1452" w:type="dxa"/>
            <w:tcBorders>
              <w:top w:val="single" w:color="auto" w:sz="4" w:space="0"/>
              <w:bottom w:val="single" w:color="auto" w:sz="4" w:space="0"/>
            </w:tcBorders>
            <w:shd w:val="clear" w:color="auto" w:fill="auto"/>
            <w:vAlign w:val="center"/>
          </w:tcPr>
          <w:p w14:paraId="3BEE8848">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35</w:t>
            </w:r>
          </w:p>
        </w:tc>
        <w:tc>
          <w:tcPr>
            <w:tcW w:w="1372"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bookmarkStart w:id="34" w:name="_GoBack"/>
      <w:bookmarkEnd w:id="34"/>
    </w:p>
    <w:p w14:paraId="42D3B0DB">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1.产品质量要求</w:t>
      </w:r>
    </w:p>
    <w:p w14:paraId="4E1794AE">
      <w:pPr>
        <w:pStyle w:val="5"/>
        <w:ind w:left="19" w:leftChars="9" w:firstLine="458" w:firstLineChars="19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采购标的所有消防设施设备产品和配套的配件须符合国家相关标准要求，其中消防应急灯、疏散指示标识为国内一线品牌。</w:t>
      </w:r>
    </w:p>
    <w:p w14:paraId="2AF712DF">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2.施工要求</w:t>
      </w:r>
    </w:p>
    <w:p w14:paraId="08378D3B">
      <w:pPr>
        <w:pStyle w:val="5"/>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Times New Roman"/>
          <w:sz w:val="24"/>
          <w:szCs w:val="24"/>
          <w:lang w:val="en-US" w:eastAsia="zh-CN"/>
        </w:rPr>
        <w:t>（1）投标人在递交投标文件前需自行现场勘察施工难度和施工安全；</w:t>
      </w:r>
    </w:p>
    <w:p w14:paraId="655FB8D8">
      <w:pPr>
        <w:pStyle w:val="5"/>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（2）施工安装期间应文明安全施工，不得影响医院正常医疗秩序和职工正常生活及休息，如发生安全事故由中标人自行承担一切责任和费用</w:t>
      </w:r>
      <w:r>
        <w:rPr>
          <w:rFonts w:hint="eastAsia" w:cs="宋体"/>
          <w:color w:val="auto"/>
          <w:sz w:val="24"/>
          <w:szCs w:val="24"/>
          <w:lang w:val="en-US" w:eastAsia="zh-CN"/>
        </w:rPr>
        <w:t>；</w:t>
      </w:r>
    </w:p>
    <w:p w14:paraId="4FA54A56">
      <w:pPr>
        <w:pStyle w:val="5"/>
        <w:ind w:left="0" w:leftChars="0" w:firstLine="420" w:firstLineChars="175"/>
        <w:rPr>
          <w:rFonts w:hint="default" w:ascii="宋体" w:hAnsi="宋体" w:eastAsia="宋体" w:cs="宋体"/>
          <w:color w:val="auto"/>
          <w:sz w:val="24"/>
          <w:szCs w:val="24"/>
          <w:lang w:val="en-US" w:eastAsia="zh-CN"/>
        </w:rPr>
      </w:pPr>
      <w:r>
        <w:rPr>
          <w:rFonts w:hint="eastAsia" w:cs="宋体"/>
          <w:color w:val="FF0000"/>
          <w:sz w:val="24"/>
          <w:szCs w:val="24"/>
          <w:lang w:val="en-US" w:eastAsia="zh-CN"/>
        </w:rPr>
        <w:t>（3）施工完毕后应对所有安装的消防设施设备进行调试，确保正常完好运行且符合消防行业有关要求。</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Times New Roman"/>
        </w:rPr>
        <w:t>采购标的需满足产品三包服务、</w:t>
      </w:r>
      <w:r>
        <w:rPr>
          <w:rFonts w:hint="eastAsia" w:ascii="宋体" w:hAnsi="宋体" w:eastAsia="宋体" w:cs="Times New Roman"/>
          <w:lang w:eastAsia="zh-CN"/>
        </w:rPr>
        <w:t>质保</w:t>
      </w:r>
      <w:r>
        <w:rPr>
          <w:rFonts w:hint="eastAsia" w:ascii="宋体" w:hAnsi="宋体" w:eastAsia="宋体" w:cs="Times New Roman"/>
        </w:rPr>
        <w:t>期</w:t>
      </w:r>
      <w:r>
        <w:rPr>
          <w:rFonts w:hint="eastAsia" w:ascii="宋体" w:hAnsi="宋体" w:eastAsia="宋体" w:cs="Times New Roman"/>
          <w:lang w:val="en-US" w:eastAsia="zh-CN"/>
        </w:rPr>
        <w:t>2</w:t>
      </w:r>
      <w:r>
        <w:rPr>
          <w:rFonts w:hint="eastAsia" w:ascii="宋体" w:hAnsi="宋体" w:eastAsia="宋体" w:cs="Times New Roman"/>
        </w:rPr>
        <w:t>年</w:t>
      </w:r>
      <w:r>
        <w:rPr>
          <w:rFonts w:hint="eastAsia" w:ascii="宋体" w:hAnsi="宋体" w:eastAsia="宋体" w:cs="Times New Roman"/>
          <w:lang w:eastAsia="zh-CN"/>
        </w:rPr>
        <w:t>，</w:t>
      </w:r>
      <w:r>
        <w:rPr>
          <w:rFonts w:hint="eastAsia" w:ascii="宋体" w:hAnsi="宋体" w:eastAsia="宋体" w:cs="Times New Roman"/>
          <w:lang w:val="en-US" w:eastAsia="zh-CN"/>
        </w:rPr>
        <w:t>质保期内出现因质量问题经过2次维修不能正常使用的，做退、换货处理，维修、换货时间不计入质保期。</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w:t>
      </w:r>
      <w:r>
        <w:rPr>
          <w:rFonts w:hint="eastAsia" w:ascii="宋体" w:hAnsi="宋体" w:eastAsia="宋体" w:cs="宋体"/>
          <w:color w:val="auto"/>
          <w:sz w:val="24"/>
          <w:szCs w:val="24"/>
          <w:lang w:val="en-US" w:eastAsia="zh-CN"/>
        </w:rPr>
        <w:t>款方式：验收合格后20个工作日内付合同总价的95% ，质保期满付5%</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585395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1.采购价为到货含税价，并包括运输、装卸、安装、调试、操作培训、人工、差旅等一切费用；</w:t>
      </w:r>
    </w:p>
    <w:p w14:paraId="1BD96B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采购标的为</w:t>
      </w:r>
      <w:r>
        <w:rPr>
          <w:rFonts w:hint="eastAsia" w:ascii="宋体" w:hAnsi="宋体" w:eastAsia="宋体" w:cs="Times New Roman"/>
          <w:sz w:val="24"/>
          <w:szCs w:val="24"/>
          <w:lang w:val="en-US" w:eastAsia="zh-CN"/>
        </w:rPr>
        <w:t>2024年10月（含）以后生产的产品。</w:t>
      </w:r>
    </w:p>
    <w:bookmarkEnd w:id="26"/>
    <w:bookmarkEnd w:id="27"/>
    <w:p w14:paraId="35C78CE5">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4B832DB7">
      <w:pPr>
        <w:pStyle w:val="7"/>
        <w:rPr>
          <w:rFonts w:hint="eastAsia" w:ascii="黑体" w:hAnsi="宋体" w:eastAsia="黑体"/>
          <w:b/>
          <w:bCs/>
          <w:sz w:val="32"/>
          <w:szCs w:val="32"/>
        </w:rPr>
      </w:pPr>
    </w:p>
    <w:p w14:paraId="4D59D4E7">
      <w:pPr>
        <w:pStyle w:val="7"/>
        <w:rPr>
          <w:rFonts w:hint="eastAsia" w:ascii="黑体" w:hAnsi="宋体" w:eastAsia="黑体"/>
          <w:b/>
          <w:bCs/>
          <w:sz w:val="32"/>
          <w:szCs w:val="32"/>
        </w:rPr>
      </w:pPr>
    </w:p>
    <w:p w14:paraId="546084BB">
      <w:pPr>
        <w:pStyle w:val="7"/>
        <w:rPr>
          <w:rFonts w:hint="eastAsia" w:ascii="黑体" w:hAnsi="宋体" w:eastAsia="黑体"/>
          <w:b/>
          <w:bCs/>
          <w:sz w:val="32"/>
          <w:szCs w:val="32"/>
        </w:rPr>
      </w:pPr>
    </w:p>
    <w:p w14:paraId="2F6C06E3">
      <w:pPr>
        <w:pStyle w:val="7"/>
        <w:rPr>
          <w:rFonts w:hint="eastAsia" w:ascii="黑体" w:hAnsi="宋体" w:eastAsia="黑体"/>
          <w:b/>
          <w:bCs/>
          <w:sz w:val="32"/>
          <w:szCs w:val="32"/>
        </w:rPr>
      </w:pPr>
    </w:p>
    <w:p w14:paraId="3FAECEE5">
      <w:pPr>
        <w:pStyle w:val="7"/>
        <w:rPr>
          <w:rFonts w:hint="eastAsia" w:ascii="黑体" w:hAnsi="宋体" w:eastAsia="黑体"/>
          <w:b/>
          <w:bCs/>
          <w:sz w:val="32"/>
          <w:szCs w:val="32"/>
        </w:rPr>
      </w:pPr>
    </w:p>
    <w:p w14:paraId="66E9EACE">
      <w:pPr>
        <w:pStyle w:val="7"/>
        <w:rPr>
          <w:rFonts w:hint="eastAsia" w:ascii="黑体" w:hAnsi="宋体" w:eastAsia="黑体"/>
          <w:b/>
          <w:bCs/>
          <w:sz w:val="32"/>
          <w:szCs w:val="32"/>
        </w:rPr>
      </w:pPr>
    </w:p>
    <w:p w14:paraId="67960A0C">
      <w:pPr>
        <w:pStyle w:val="7"/>
        <w:rPr>
          <w:rFonts w:hint="eastAsia" w:ascii="黑体" w:hAnsi="宋体" w:eastAsia="黑体"/>
          <w:b/>
          <w:bCs/>
          <w:sz w:val="32"/>
          <w:szCs w:val="32"/>
        </w:rPr>
      </w:pPr>
    </w:p>
    <w:p w14:paraId="0508625F">
      <w:pPr>
        <w:pStyle w:val="7"/>
        <w:rPr>
          <w:rFonts w:hint="eastAsia" w:ascii="黑体" w:hAnsi="宋体" w:eastAsia="黑体"/>
          <w:b/>
          <w:bCs/>
          <w:sz w:val="32"/>
          <w:szCs w:val="32"/>
        </w:rPr>
      </w:pPr>
    </w:p>
    <w:p w14:paraId="450ABCC1">
      <w:pPr>
        <w:pStyle w:val="7"/>
        <w:rPr>
          <w:rFonts w:hint="eastAsia" w:ascii="黑体" w:hAnsi="宋体" w:eastAsia="黑体"/>
          <w:b/>
          <w:bCs/>
          <w:sz w:val="32"/>
          <w:szCs w:val="32"/>
        </w:rPr>
      </w:pPr>
    </w:p>
    <w:p w14:paraId="3B8DA2AA">
      <w:pPr>
        <w:pStyle w:val="7"/>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2"/>
        <w:pBdr>
          <w:bottom w:val="none" w:color="auto" w:sz="0" w:space="0"/>
        </w:pBdr>
        <w:tabs>
          <w:tab w:val="clear" w:pos="4153"/>
          <w:tab w:val="clear" w:pos="8306"/>
        </w:tabs>
        <w:snapToGrid/>
        <w:jc w:val="both"/>
        <w:rPr>
          <w:rFonts w:hint="eastAsia" w:ascii="宋体" w:hAnsi="宋体"/>
          <w:sz w:val="24"/>
          <w:szCs w:val="24"/>
        </w:rPr>
      </w:pPr>
    </w:p>
    <w:p w14:paraId="64CDB550">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10"/>
        <w:tabs>
          <w:tab w:val="left" w:pos="0"/>
        </w:tabs>
        <w:spacing w:after="0" w:line="400" w:lineRule="exact"/>
        <w:rPr>
          <w:rFonts w:hint="eastAsia"/>
        </w:rPr>
      </w:pPr>
    </w:p>
    <w:p w14:paraId="09233E8B">
      <w:pPr>
        <w:pStyle w:val="10"/>
        <w:tabs>
          <w:tab w:val="left" w:pos="0"/>
        </w:tabs>
        <w:rPr>
          <w:rFonts w:hint="eastAsia"/>
        </w:rPr>
      </w:pPr>
    </w:p>
    <w:p w14:paraId="5BF951EE">
      <w:pPr>
        <w:pStyle w:val="10"/>
        <w:tabs>
          <w:tab w:val="left" w:pos="0"/>
        </w:tabs>
        <w:rPr>
          <w:rFonts w:hint="eastAsia"/>
        </w:rPr>
      </w:pPr>
    </w:p>
    <w:p w14:paraId="1EACDFB2">
      <w:pPr>
        <w:pStyle w:val="10"/>
        <w:tabs>
          <w:tab w:val="left" w:pos="0"/>
        </w:tabs>
        <w:rPr>
          <w:rFonts w:hint="eastAsia"/>
        </w:rPr>
      </w:pPr>
    </w:p>
    <w:p w14:paraId="49BA259B">
      <w:pPr>
        <w:pStyle w:val="10"/>
        <w:tabs>
          <w:tab w:val="left" w:pos="0"/>
        </w:tabs>
        <w:rPr>
          <w:rFonts w:hint="eastAsia"/>
        </w:rPr>
      </w:pPr>
    </w:p>
    <w:p w14:paraId="26D6F00E">
      <w:pPr>
        <w:pStyle w:val="10"/>
        <w:tabs>
          <w:tab w:val="left" w:pos="0"/>
        </w:tabs>
        <w:rPr>
          <w:rFonts w:hint="eastAsia"/>
        </w:rPr>
      </w:pPr>
    </w:p>
    <w:p w14:paraId="587DFC25">
      <w:pPr>
        <w:pStyle w:val="10"/>
        <w:tabs>
          <w:tab w:val="left" w:pos="0"/>
        </w:tabs>
        <w:ind w:left="0" w:leftChars="0" w:firstLine="0" w:firstLineChars="0"/>
        <w:jc w:val="both"/>
        <w:rPr>
          <w:rFonts w:hint="eastAsia"/>
          <w:b/>
          <w:sz w:val="32"/>
          <w:szCs w:val="32"/>
        </w:rPr>
      </w:pPr>
    </w:p>
    <w:p w14:paraId="0FD1EA34">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10"/>
        <w:tabs>
          <w:tab w:val="left" w:pos="0"/>
        </w:tabs>
        <w:jc w:val="center"/>
        <w:rPr>
          <w:rFonts w:hint="eastAsia"/>
        </w:rPr>
      </w:pPr>
    </w:p>
    <w:p w14:paraId="0CD2C491">
      <w:pPr>
        <w:pStyle w:val="10"/>
        <w:tabs>
          <w:tab w:val="left" w:pos="0"/>
        </w:tabs>
        <w:jc w:val="center"/>
        <w:rPr>
          <w:rFonts w:hint="eastAsia"/>
        </w:rPr>
      </w:pPr>
    </w:p>
    <w:p w14:paraId="51992F2D">
      <w:pPr>
        <w:pStyle w:val="10"/>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eastAsia="宋体" w:cs="Times New Roman"/>
          <w:bCs/>
          <w:color w:val="auto"/>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color w:val="auto"/>
          <w:sz w:val="24"/>
          <w:lang w:eastAsia="zh-CN"/>
        </w:rPr>
        <w:t>，</w:t>
      </w:r>
      <w:r>
        <w:rPr>
          <w:rFonts w:hint="eastAsia" w:ascii="宋体" w:hAnsi="宋体" w:eastAsia="宋体" w:cs="Times New Roman"/>
          <w:bCs/>
          <w:color w:val="auto"/>
          <w:sz w:val="24"/>
        </w:rPr>
        <w:t>递交</w:t>
      </w:r>
      <w:r>
        <w:rPr>
          <w:rFonts w:hint="eastAsia" w:ascii="宋体" w:hAnsi="宋体" w:eastAsia="宋体" w:cs="Times New Roman"/>
          <w:bCs/>
          <w:color w:val="auto"/>
          <w:sz w:val="24"/>
          <w:lang w:eastAsia="zh-CN"/>
        </w:rPr>
        <w:t>投标文件</w:t>
      </w:r>
      <w:r>
        <w:rPr>
          <w:rFonts w:hint="eastAsia" w:ascii="宋体" w:hAnsi="宋体" w:eastAsia="宋体" w:cs="Times New Roman"/>
          <w:bCs/>
          <w:color w:val="auto"/>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1"/>
      <w:framePr w:wrap="around" w:vAnchor="text" w:hAnchor="margin" w:xAlign="outside" w:y="1"/>
      <w:rPr>
        <w:rStyle w:val="20"/>
        <w:rFonts w:hint="eastAsia" w:ascii="Times New Roman" w:hAnsi="Times New Roman" w:eastAsia="宋体" w:cs="Times New Roman"/>
      </w:rPr>
    </w:pPr>
  </w:p>
  <w:p w14:paraId="2FA3308A">
    <w:pPr>
      <w:pStyle w:val="11"/>
      <w:framePr w:wrap="around" w:vAnchor="text" w:hAnchor="margin" w:xAlign="outside" w:y="1"/>
      <w:rPr>
        <w:rStyle w:val="20"/>
        <w:rFonts w:hint="eastAsia" w:ascii="Times New Roman" w:hAnsi="Times New Roman" w:eastAsia="宋体" w:cs="Times New Roman"/>
      </w:rPr>
    </w:pPr>
  </w:p>
  <w:p w14:paraId="74A77EF2">
    <w:pPr>
      <w:pStyle w:val="11"/>
      <w:framePr w:wrap="around" w:vAnchor="text" w:hAnchor="margin" w:xAlign="outside" w:y="1"/>
      <w:rPr>
        <w:rStyle w:val="20"/>
        <w:rFonts w:hint="eastAsia" w:ascii="Times New Roman" w:hAnsi="Times New Roman" w:eastAsia="宋体" w:cs="Times New Roman"/>
      </w:rPr>
    </w:pPr>
  </w:p>
  <w:p w14:paraId="06428C61">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1"/>
      <w:framePr w:wrap="around" w:vAnchor="text" w:hAnchor="margin" w:xAlign="outside" w:y="1"/>
      <w:rPr>
        <w:rStyle w:val="20"/>
        <w:rFonts w:hint="eastAsia"/>
      </w:rPr>
    </w:pPr>
  </w:p>
  <w:p w14:paraId="4A84BA1B">
    <w:pPr>
      <w:pStyle w:val="11"/>
      <w:framePr w:wrap="around" w:vAnchor="text" w:hAnchor="margin" w:xAlign="outside" w:y="1"/>
      <w:rPr>
        <w:rStyle w:val="20"/>
        <w:rFonts w:hint="eastAsia"/>
      </w:rPr>
    </w:pPr>
  </w:p>
  <w:p w14:paraId="4FA7D3F1">
    <w:pPr>
      <w:pStyle w:val="11"/>
      <w:framePr w:wrap="around" w:vAnchor="text" w:hAnchor="margin" w:xAlign="outside" w:y="1"/>
      <w:rPr>
        <w:rStyle w:val="20"/>
        <w:rFonts w:hint="eastAsia"/>
      </w:rPr>
    </w:pPr>
  </w:p>
  <w:p w14:paraId="6C2E5B50">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2847B9"/>
    <w:rsid w:val="248F084E"/>
    <w:rsid w:val="259801CB"/>
    <w:rsid w:val="268F0FD1"/>
    <w:rsid w:val="27644041"/>
    <w:rsid w:val="28FC7A35"/>
    <w:rsid w:val="2A1047F1"/>
    <w:rsid w:val="2AE95BE6"/>
    <w:rsid w:val="2B4F4C91"/>
    <w:rsid w:val="2B7E6357"/>
    <w:rsid w:val="2BBF135F"/>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046BCA"/>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887706"/>
    <w:rsid w:val="54E61D80"/>
    <w:rsid w:val="552B0390"/>
    <w:rsid w:val="560A5808"/>
    <w:rsid w:val="562A7CF5"/>
    <w:rsid w:val="56356D29"/>
    <w:rsid w:val="56383356"/>
    <w:rsid w:val="56537BBB"/>
    <w:rsid w:val="5691060A"/>
    <w:rsid w:val="56A56512"/>
    <w:rsid w:val="56B1772C"/>
    <w:rsid w:val="572063DD"/>
    <w:rsid w:val="573C5230"/>
    <w:rsid w:val="578E758F"/>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C247CE"/>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Plain Text"/>
    <w:basedOn w:val="1"/>
    <w:unhideWhenUsed/>
    <w:qFormat/>
    <w:uiPriority w:val="0"/>
    <w:rPr>
      <w:rFonts w:ascii="宋体" w:hAnsi="Courier New"/>
      <w:sz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2153</Words>
  <Characters>2342</Characters>
  <Lines>0</Lines>
  <Paragraphs>0</Paragraphs>
  <TotalTime>5</TotalTime>
  <ScaleCrop>false</ScaleCrop>
  <LinksUpToDate>false</LinksUpToDate>
  <CharactersWithSpaces>2404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2025-06-26T02:54:27Z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