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耳鼻喉手术器械一批</w:t>
      </w:r>
    </w:p>
    <w:p w14:paraId="03AD8405">
      <w:pPr>
        <w:pStyle w:val="29"/>
        <w:jc w:val="center"/>
        <w:outlineLvl w:val="2"/>
      </w:pPr>
      <w:r>
        <w:rPr>
          <w:b/>
          <w:sz w:val="28"/>
        </w:rPr>
        <w:t>采购项目编号：</w:t>
      </w:r>
      <w:r>
        <w:rPr>
          <w:rFonts w:hint="eastAsia" w:ascii="宋体"/>
          <w:b/>
          <w:sz w:val="30"/>
          <w:szCs w:val="30"/>
          <w:lang w:eastAsia="zh-CN"/>
        </w:rPr>
        <w:t>LYC-202</w:t>
      </w:r>
      <w:r>
        <w:rPr>
          <w:rFonts w:hint="eastAsia" w:ascii="宋体"/>
          <w:b/>
          <w:sz w:val="30"/>
          <w:szCs w:val="30"/>
          <w:lang w:val="en-US" w:eastAsia="zh-CN"/>
        </w:rPr>
        <w:t>5</w:t>
      </w:r>
      <w:r>
        <w:rPr>
          <w:rFonts w:hint="eastAsia" w:ascii="宋体"/>
          <w:b/>
          <w:sz w:val="30"/>
          <w:szCs w:val="30"/>
          <w:lang w:eastAsia="zh-CN"/>
        </w:rPr>
        <w:t>-</w:t>
      </w:r>
      <w:r>
        <w:rPr>
          <w:rFonts w:hint="eastAsia" w:ascii="宋体"/>
          <w:b/>
          <w:sz w:val="30"/>
          <w:szCs w:val="30"/>
          <w:lang w:val="en-US" w:eastAsia="zh-CN"/>
        </w:rPr>
        <w:t xml:space="preserve">011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02</w:t>
      </w:r>
      <w:r>
        <w:rPr>
          <w:b/>
          <w:sz w:val="28"/>
        </w:rPr>
        <w:t>月</w:t>
      </w:r>
      <w:r>
        <w:rPr>
          <w:rFonts w:hint="eastAsia"/>
          <w:b/>
          <w:sz w:val="28"/>
          <w:lang w:val="en-US" w:eastAsia="zh-CN"/>
        </w:rPr>
        <w:t>11</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LYC-2025-011</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耳鼻喉手术器械一批</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16</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或广安公共资源交易网（https://gasggzy.cn/）上以公告形式发布。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21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21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21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11</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1600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1500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24295"/>
      <w:bookmarkStart w:id="10" w:name="_Toc13038"/>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Times New Roman" w:hAnsi="Times New Roman" w:eastAsia="方正仿宋_GBK" w:cs="方正仿宋_GBK"/>
          <w:b/>
          <w:bCs/>
          <w:color w:val="FF0000"/>
          <w:sz w:val="24"/>
          <w:szCs w:val="24"/>
          <w:highlight w:val="none"/>
          <w:lang w:val="en-US" w:eastAsia="zh-CN"/>
        </w:rPr>
        <w:t>中耳息肉钳</w:t>
      </w:r>
      <w:r>
        <w:rPr>
          <w:rFonts w:hint="eastAsia" w:ascii="Times New Roman" w:eastAsia="方正仿宋_GBK" w:cs="方正仿宋_GBK"/>
          <w:b/>
          <w:bCs/>
          <w:color w:val="FF0000"/>
          <w:sz w:val="24"/>
          <w:szCs w:val="24"/>
          <w:highlight w:val="non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338364"/>
      <w:bookmarkStart w:id="13" w:name="_Toc101250646"/>
      <w:bookmarkStart w:id="14" w:name="_Toc209847069"/>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3689A003">
      <w:pPr>
        <w:pStyle w:val="29"/>
        <w:ind w:firstLine="480" w:firstLineChars="200"/>
        <w:outlineLvl w:val="2"/>
        <w:rPr>
          <w:rFonts w:hint="default"/>
        </w:rPr>
      </w:pPr>
      <w:r>
        <w:rPr>
          <w:rFonts w:hint="eastAsia" w:ascii="宋体" w:hAnsi="宋体" w:eastAsia="宋体" w:cs="Times New Roman"/>
          <w:kern w:val="2"/>
          <w:sz w:val="24"/>
          <w:szCs w:val="24"/>
          <w:lang w:val="en-US" w:eastAsia="zh-CN" w:bidi="ar-SA"/>
        </w:rPr>
        <w:t>39.</w:t>
      </w:r>
      <w:r>
        <w:rPr>
          <w:rFonts w:hint="eastAsia" w:ascii="宋体" w:hAnsi="宋体" w:eastAsia="宋体" w:cs="Times New Roman"/>
          <w:b/>
          <w:sz w:val="24"/>
        </w:rPr>
        <w:t>（实质性要求）</w:t>
      </w:r>
      <w:r>
        <w:rPr>
          <w:rFonts w:hint="eastAsia" w:ascii="宋体" w:hAnsi="宋体" w:eastAsia="宋体" w:cs="Times New Roman"/>
          <w:color w:val="FF0000"/>
          <w:kern w:val="2"/>
          <w:sz w:val="24"/>
          <w:szCs w:val="24"/>
          <w:lang w:val="en-US" w:eastAsia="zh-CN" w:bidi="ar-SA"/>
        </w:rPr>
        <w:t>本项目需要进行样品审核</w:t>
      </w:r>
      <w: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77400782"/>
      <w:bookmarkStart w:id="18" w:name="_Toc89075878"/>
      <w:bookmarkStart w:id="19" w:name="_Toc18368236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耳鼻喉手术器械一批</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103"/>
        <w:gridCol w:w="1476"/>
        <w:gridCol w:w="1272"/>
        <w:gridCol w:w="184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0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47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72"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84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10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耳用膝状镊</w:t>
            </w:r>
          </w:p>
        </w:tc>
        <w:tc>
          <w:tcPr>
            <w:tcW w:w="1476"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10</w:t>
            </w:r>
          </w:p>
        </w:tc>
        <w:tc>
          <w:tcPr>
            <w:tcW w:w="184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FCF1A19">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2</w:t>
            </w:r>
          </w:p>
        </w:tc>
        <w:tc>
          <w:tcPr>
            <w:tcW w:w="3103" w:type="dxa"/>
            <w:shd w:val="clear" w:color="auto" w:fill="auto"/>
            <w:vAlign w:val="center"/>
          </w:tcPr>
          <w:p w14:paraId="10DE227B">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筋膜压薄器</w:t>
            </w:r>
          </w:p>
        </w:tc>
        <w:tc>
          <w:tcPr>
            <w:tcW w:w="1476" w:type="dxa"/>
            <w:shd w:val="clear" w:color="auto" w:fill="auto"/>
            <w:vAlign w:val="center"/>
          </w:tcPr>
          <w:p w14:paraId="16F51430">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57FA6834">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w:t>
            </w:r>
          </w:p>
        </w:tc>
        <w:tc>
          <w:tcPr>
            <w:tcW w:w="1846"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5BBD3E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3</w:t>
            </w:r>
          </w:p>
        </w:tc>
        <w:tc>
          <w:tcPr>
            <w:tcW w:w="3103" w:type="dxa"/>
            <w:shd w:val="clear" w:color="auto" w:fill="auto"/>
            <w:vAlign w:val="center"/>
          </w:tcPr>
          <w:p w14:paraId="635DFFDC">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持针钳</w:t>
            </w:r>
          </w:p>
        </w:tc>
        <w:tc>
          <w:tcPr>
            <w:tcW w:w="1476" w:type="dxa"/>
            <w:shd w:val="clear" w:color="auto" w:fill="auto"/>
            <w:vAlign w:val="center"/>
          </w:tcPr>
          <w:p w14:paraId="15E33050">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6FD2C90A">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w:t>
            </w:r>
          </w:p>
        </w:tc>
        <w:tc>
          <w:tcPr>
            <w:tcW w:w="1846"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D879D36">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4</w:t>
            </w:r>
          </w:p>
        </w:tc>
        <w:tc>
          <w:tcPr>
            <w:tcW w:w="3103" w:type="dxa"/>
            <w:shd w:val="clear" w:color="auto" w:fill="auto"/>
            <w:vAlign w:val="center"/>
          </w:tcPr>
          <w:p w14:paraId="26CEE6C6">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中耳息肉钳</w:t>
            </w:r>
          </w:p>
        </w:tc>
        <w:tc>
          <w:tcPr>
            <w:tcW w:w="1476" w:type="dxa"/>
            <w:shd w:val="clear" w:color="auto" w:fill="auto"/>
            <w:vAlign w:val="center"/>
          </w:tcPr>
          <w:p w14:paraId="0D2DCEC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516566A5">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10</w:t>
            </w:r>
          </w:p>
        </w:tc>
        <w:tc>
          <w:tcPr>
            <w:tcW w:w="1846"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B5982C6">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5</w:t>
            </w:r>
          </w:p>
        </w:tc>
        <w:tc>
          <w:tcPr>
            <w:tcW w:w="3103" w:type="dxa"/>
            <w:shd w:val="clear" w:color="auto" w:fill="auto"/>
            <w:vAlign w:val="center"/>
          </w:tcPr>
          <w:p w14:paraId="65A52FCC">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乳突牵开器</w:t>
            </w:r>
          </w:p>
        </w:tc>
        <w:tc>
          <w:tcPr>
            <w:tcW w:w="1476" w:type="dxa"/>
            <w:shd w:val="clear" w:color="auto" w:fill="auto"/>
            <w:vAlign w:val="center"/>
          </w:tcPr>
          <w:p w14:paraId="230AFF6D">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3BEE8848">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4</w:t>
            </w:r>
          </w:p>
        </w:tc>
        <w:tc>
          <w:tcPr>
            <w:tcW w:w="1846"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A9CE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5697B00">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6</w:t>
            </w:r>
          </w:p>
        </w:tc>
        <w:tc>
          <w:tcPr>
            <w:tcW w:w="3103" w:type="dxa"/>
            <w:shd w:val="clear" w:color="auto" w:fill="auto"/>
            <w:vAlign w:val="center"/>
          </w:tcPr>
          <w:p w14:paraId="522331D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耳息肉剪</w:t>
            </w:r>
          </w:p>
        </w:tc>
        <w:tc>
          <w:tcPr>
            <w:tcW w:w="1476" w:type="dxa"/>
            <w:shd w:val="clear" w:color="auto" w:fill="auto"/>
            <w:vAlign w:val="center"/>
          </w:tcPr>
          <w:p w14:paraId="69E6E212">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260568B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2</w:t>
            </w:r>
          </w:p>
        </w:tc>
        <w:tc>
          <w:tcPr>
            <w:tcW w:w="1846" w:type="dxa"/>
            <w:tcBorders>
              <w:top w:val="single" w:color="auto" w:sz="4" w:space="0"/>
              <w:bottom w:val="single" w:color="auto" w:sz="4" w:space="0"/>
            </w:tcBorders>
            <w:shd w:val="clear" w:color="auto" w:fill="auto"/>
            <w:vAlign w:val="center"/>
          </w:tcPr>
          <w:p w14:paraId="5C6EAD9F">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57B3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013848C">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7</w:t>
            </w:r>
          </w:p>
        </w:tc>
        <w:tc>
          <w:tcPr>
            <w:tcW w:w="3103" w:type="dxa"/>
            <w:shd w:val="clear" w:color="auto" w:fill="auto"/>
            <w:vAlign w:val="center"/>
          </w:tcPr>
          <w:p w14:paraId="493E5763">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中耳息肉剪</w:t>
            </w:r>
          </w:p>
        </w:tc>
        <w:tc>
          <w:tcPr>
            <w:tcW w:w="1476" w:type="dxa"/>
            <w:shd w:val="clear" w:color="auto" w:fill="auto"/>
            <w:vAlign w:val="center"/>
          </w:tcPr>
          <w:p w14:paraId="7155B34F">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41CE52F4">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3</w:t>
            </w:r>
          </w:p>
        </w:tc>
        <w:tc>
          <w:tcPr>
            <w:tcW w:w="1846" w:type="dxa"/>
            <w:tcBorders>
              <w:top w:val="single" w:color="auto" w:sz="4" w:space="0"/>
              <w:bottom w:val="single" w:color="auto" w:sz="4" w:space="0"/>
            </w:tcBorders>
            <w:shd w:val="clear" w:color="auto" w:fill="auto"/>
            <w:vAlign w:val="center"/>
          </w:tcPr>
          <w:p w14:paraId="7FF99A4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7DA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1BF9A8BF">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8</w:t>
            </w:r>
          </w:p>
        </w:tc>
        <w:tc>
          <w:tcPr>
            <w:tcW w:w="3103" w:type="dxa"/>
            <w:shd w:val="clear" w:color="auto" w:fill="auto"/>
            <w:vAlign w:val="center"/>
          </w:tcPr>
          <w:p w14:paraId="2D59CE4F">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五官科吸引管</w:t>
            </w:r>
          </w:p>
        </w:tc>
        <w:tc>
          <w:tcPr>
            <w:tcW w:w="1476" w:type="dxa"/>
            <w:shd w:val="clear" w:color="auto" w:fill="auto"/>
            <w:vAlign w:val="center"/>
          </w:tcPr>
          <w:p w14:paraId="2F702AA4">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支</w:t>
            </w:r>
          </w:p>
        </w:tc>
        <w:tc>
          <w:tcPr>
            <w:tcW w:w="1272" w:type="dxa"/>
            <w:tcBorders>
              <w:top w:val="single" w:color="auto" w:sz="4" w:space="0"/>
              <w:bottom w:val="single" w:color="auto" w:sz="4" w:space="0"/>
            </w:tcBorders>
            <w:shd w:val="clear" w:color="auto" w:fill="auto"/>
            <w:vAlign w:val="center"/>
          </w:tcPr>
          <w:p w14:paraId="6E0E964C">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15</w:t>
            </w:r>
          </w:p>
        </w:tc>
        <w:tc>
          <w:tcPr>
            <w:tcW w:w="1846" w:type="dxa"/>
            <w:tcBorders>
              <w:top w:val="single" w:color="auto" w:sz="4" w:space="0"/>
              <w:bottom w:val="single" w:color="auto" w:sz="4" w:space="0"/>
            </w:tcBorders>
            <w:shd w:val="clear" w:color="auto" w:fill="auto"/>
            <w:vAlign w:val="center"/>
          </w:tcPr>
          <w:p w14:paraId="5FE5E1A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162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E5B3A83">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9</w:t>
            </w:r>
          </w:p>
        </w:tc>
        <w:tc>
          <w:tcPr>
            <w:tcW w:w="3103" w:type="dxa"/>
            <w:shd w:val="clear" w:color="auto" w:fill="auto"/>
            <w:vAlign w:val="center"/>
          </w:tcPr>
          <w:p w14:paraId="3BE7B217">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鼻咬切钳</w:t>
            </w:r>
          </w:p>
        </w:tc>
        <w:tc>
          <w:tcPr>
            <w:tcW w:w="1476" w:type="dxa"/>
            <w:shd w:val="clear" w:color="auto" w:fill="auto"/>
            <w:vAlign w:val="center"/>
          </w:tcPr>
          <w:p w14:paraId="6050A464">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把</w:t>
            </w:r>
          </w:p>
        </w:tc>
        <w:tc>
          <w:tcPr>
            <w:tcW w:w="1272" w:type="dxa"/>
            <w:tcBorders>
              <w:top w:val="single" w:color="auto" w:sz="4" w:space="0"/>
              <w:bottom w:val="single" w:color="auto" w:sz="4" w:space="0"/>
            </w:tcBorders>
            <w:shd w:val="clear" w:color="auto" w:fill="auto"/>
            <w:vAlign w:val="center"/>
          </w:tcPr>
          <w:p w14:paraId="1C8B58DA">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10</w:t>
            </w:r>
          </w:p>
        </w:tc>
        <w:tc>
          <w:tcPr>
            <w:tcW w:w="1846" w:type="dxa"/>
            <w:tcBorders>
              <w:top w:val="single" w:color="auto" w:sz="4" w:space="0"/>
              <w:bottom w:val="single" w:color="auto" w:sz="4" w:space="0"/>
            </w:tcBorders>
            <w:shd w:val="clear" w:color="auto" w:fill="auto"/>
            <w:vAlign w:val="center"/>
          </w:tcPr>
          <w:p w14:paraId="35FF0C7B">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2E16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A5AC5F7">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10</w:t>
            </w:r>
          </w:p>
        </w:tc>
        <w:tc>
          <w:tcPr>
            <w:tcW w:w="3103" w:type="dxa"/>
            <w:shd w:val="clear" w:color="auto" w:fill="auto"/>
            <w:vAlign w:val="center"/>
          </w:tcPr>
          <w:p w14:paraId="23E33B1B">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鼻腔吸引管</w:t>
            </w:r>
          </w:p>
        </w:tc>
        <w:tc>
          <w:tcPr>
            <w:tcW w:w="1476" w:type="dxa"/>
            <w:shd w:val="clear" w:color="auto" w:fill="auto"/>
            <w:vAlign w:val="center"/>
          </w:tcPr>
          <w:p w14:paraId="5E291301">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支</w:t>
            </w:r>
          </w:p>
        </w:tc>
        <w:tc>
          <w:tcPr>
            <w:tcW w:w="1272" w:type="dxa"/>
            <w:tcBorders>
              <w:top w:val="single" w:color="auto" w:sz="4" w:space="0"/>
              <w:bottom w:val="single" w:color="auto" w:sz="4" w:space="0"/>
            </w:tcBorders>
            <w:shd w:val="clear" w:color="auto" w:fill="auto"/>
            <w:vAlign w:val="center"/>
          </w:tcPr>
          <w:p w14:paraId="12A467D4">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10</w:t>
            </w:r>
          </w:p>
        </w:tc>
        <w:tc>
          <w:tcPr>
            <w:tcW w:w="1846" w:type="dxa"/>
            <w:tcBorders>
              <w:top w:val="single" w:color="auto" w:sz="4" w:space="0"/>
              <w:bottom w:val="single" w:color="auto" w:sz="4" w:space="0"/>
            </w:tcBorders>
            <w:shd w:val="clear" w:color="auto" w:fill="auto"/>
            <w:vAlign w:val="center"/>
          </w:tcPr>
          <w:p w14:paraId="523FE7F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FE9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095C960">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11</w:t>
            </w:r>
          </w:p>
        </w:tc>
        <w:tc>
          <w:tcPr>
            <w:tcW w:w="3103" w:type="dxa"/>
            <w:shd w:val="clear" w:color="auto" w:fill="auto"/>
            <w:vAlign w:val="center"/>
          </w:tcPr>
          <w:p w14:paraId="1A60410C">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方正仿宋_GBK" w:cs="方正仿宋_GBK"/>
                <w:sz w:val="24"/>
                <w:szCs w:val="24"/>
                <w:lang w:val="en-US" w:eastAsia="zh-CN"/>
              </w:rPr>
              <w:t>耳内窥镜</w:t>
            </w:r>
          </w:p>
        </w:tc>
        <w:tc>
          <w:tcPr>
            <w:tcW w:w="1476" w:type="dxa"/>
            <w:shd w:val="clear" w:color="auto" w:fill="auto"/>
            <w:vAlign w:val="center"/>
          </w:tcPr>
          <w:p w14:paraId="5459D1DF">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imes New Roman" w:hAnsi="Times New Roman" w:eastAsia="方正仿宋_GBK" w:cs="方正仿宋_GBK"/>
                <w:sz w:val="24"/>
                <w:szCs w:val="24"/>
                <w:lang w:val="en-US" w:eastAsia="zh-CN"/>
              </w:rPr>
              <w:t>支</w:t>
            </w:r>
          </w:p>
        </w:tc>
        <w:tc>
          <w:tcPr>
            <w:tcW w:w="1272" w:type="dxa"/>
            <w:tcBorders>
              <w:top w:val="single" w:color="auto" w:sz="4" w:space="0"/>
              <w:bottom w:val="single" w:color="auto" w:sz="4" w:space="0"/>
            </w:tcBorders>
            <w:shd w:val="clear" w:color="auto" w:fill="auto"/>
            <w:vAlign w:val="center"/>
          </w:tcPr>
          <w:p w14:paraId="0527D9BA">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imes New Roman" w:hAnsi="Times New Roman" w:eastAsia="方正仿宋_GBK" w:cs="方正仿宋_GBK"/>
                <w:sz w:val="24"/>
                <w:szCs w:val="24"/>
                <w:lang w:val="en-US" w:eastAsia="zh-CN"/>
              </w:rPr>
              <w:t>5</w:t>
            </w:r>
          </w:p>
        </w:tc>
        <w:tc>
          <w:tcPr>
            <w:tcW w:w="1846" w:type="dxa"/>
            <w:tcBorders>
              <w:top w:val="single" w:color="auto" w:sz="4" w:space="0"/>
              <w:bottom w:val="single" w:color="auto" w:sz="4" w:space="0"/>
            </w:tcBorders>
            <w:shd w:val="clear" w:color="auto" w:fill="auto"/>
            <w:vAlign w:val="center"/>
          </w:tcPr>
          <w:p w14:paraId="07EE4F3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9071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393273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12</w:t>
            </w:r>
          </w:p>
        </w:tc>
        <w:tc>
          <w:tcPr>
            <w:tcW w:w="3103" w:type="dxa"/>
            <w:shd w:val="clear" w:color="auto" w:fill="auto"/>
            <w:vAlign w:val="center"/>
          </w:tcPr>
          <w:p w14:paraId="48FE5A3D">
            <w:pPr>
              <w:overflowPunct w:val="0"/>
              <w:adjustRightInd w:val="0"/>
              <w:snapToGrid w:val="0"/>
              <w:spacing w:line="58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方正仿宋_GBK" w:cs="方正仿宋_GBK"/>
                <w:sz w:val="24"/>
                <w:szCs w:val="24"/>
                <w:lang w:val="en-US" w:eastAsia="zh-CN"/>
              </w:rPr>
              <w:t>鼻窦镜</w:t>
            </w:r>
          </w:p>
        </w:tc>
        <w:tc>
          <w:tcPr>
            <w:tcW w:w="1476" w:type="dxa"/>
            <w:shd w:val="clear" w:color="auto" w:fill="auto"/>
            <w:vAlign w:val="center"/>
          </w:tcPr>
          <w:p w14:paraId="1CCA6930">
            <w:pPr>
              <w:overflowPunct w:val="0"/>
              <w:adjustRightInd w:val="0"/>
              <w:snapToGrid w:val="0"/>
              <w:spacing w:line="580" w:lineRule="exact"/>
              <w:jc w:val="center"/>
              <w:rPr>
                <w:rFonts w:hint="eastAsia" w:ascii="宋体" w:hAnsi="宋体" w:cs="宋体"/>
                <w:kern w:val="2"/>
                <w:sz w:val="24"/>
                <w:szCs w:val="24"/>
                <w:lang w:val="en-US" w:eastAsia="zh-CN" w:bidi="ar-SA"/>
              </w:rPr>
            </w:pPr>
            <w:r>
              <w:rPr>
                <w:rFonts w:hint="eastAsia" w:ascii="Times New Roman" w:hAnsi="Times New Roman" w:eastAsia="方正仿宋_GBK" w:cs="方正仿宋_GBK"/>
                <w:sz w:val="24"/>
                <w:szCs w:val="24"/>
                <w:lang w:val="en-US" w:eastAsia="zh-CN"/>
              </w:rPr>
              <w:t>支</w:t>
            </w:r>
          </w:p>
        </w:tc>
        <w:tc>
          <w:tcPr>
            <w:tcW w:w="1272" w:type="dxa"/>
            <w:tcBorders>
              <w:top w:val="single" w:color="auto" w:sz="4" w:space="0"/>
              <w:bottom w:val="single" w:color="auto" w:sz="4" w:space="0"/>
            </w:tcBorders>
            <w:shd w:val="clear" w:color="auto" w:fill="auto"/>
            <w:vAlign w:val="center"/>
          </w:tcPr>
          <w:p w14:paraId="761CAB17">
            <w:pPr>
              <w:overflowPunct w:val="0"/>
              <w:adjustRightInd w:val="0"/>
              <w:snapToGrid w:val="0"/>
              <w:spacing w:line="58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方正仿宋_GBK" w:cs="方正仿宋_GBK"/>
                <w:sz w:val="24"/>
                <w:szCs w:val="24"/>
                <w:lang w:val="en-US" w:eastAsia="zh-CN"/>
              </w:rPr>
              <w:t>6</w:t>
            </w:r>
          </w:p>
        </w:tc>
        <w:tc>
          <w:tcPr>
            <w:tcW w:w="1846" w:type="dxa"/>
            <w:tcBorders>
              <w:top w:val="single" w:color="auto" w:sz="4" w:space="0"/>
              <w:bottom w:val="single" w:color="auto" w:sz="4" w:space="0"/>
            </w:tcBorders>
            <w:shd w:val="clear" w:color="auto" w:fill="auto"/>
            <w:vAlign w:val="center"/>
          </w:tcPr>
          <w:p w14:paraId="03AF1D97">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17C4F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9165574">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13</w:t>
            </w:r>
          </w:p>
        </w:tc>
        <w:tc>
          <w:tcPr>
            <w:tcW w:w="3103" w:type="dxa"/>
            <w:shd w:val="clear" w:color="auto" w:fill="auto"/>
            <w:vAlign w:val="center"/>
          </w:tcPr>
          <w:p w14:paraId="2972213E">
            <w:pPr>
              <w:overflowPunct w:val="0"/>
              <w:adjustRightInd w:val="0"/>
              <w:snapToGrid w:val="0"/>
              <w:spacing w:line="58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方正仿宋_GBK" w:cs="方正仿宋_GBK"/>
                <w:sz w:val="24"/>
                <w:szCs w:val="24"/>
                <w:lang w:val="en-US" w:eastAsia="zh-CN"/>
              </w:rPr>
              <w:t>尿道膀胱镜</w:t>
            </w:r>
          </w:p>
        </w:tc>
        <w:tc>
          <w:tcPr>
            <w:tcW w:w="1476" w:type="dxa"/>
            <w:shd w:val="clear" w:color="auto" w:fill="auto"/>
            <w:vAlign w:val="center"/>
          </w:tcPr>
          <w:p w14:paraId="707CE78F">
            <w:pPr>
              <w:overflowPunct w:val="0"/>
              <w:adjustRightInd w:val="0"/>
              <w:snapToGrid w:val="0"/>
              <w:spacing w:line="580" w:lineRule="exact"/>
              <w:jc w:val="center"/>
              <w:rPr>
                <w:rFonts w:hint="eastAsia" w:ascii="宋体" w:hAnsi="宋体" w:cs="宋体"/>
                <w:kern w:val="2"/>
                <w:sz w:val="24"/>
                <w:szCs w:val="24"/>
                <w:lang w:val="en-US" w:eastAsia="zh-CN" w:bidi="ar-SA"/>
              </w:rPr>
            </w:pPr>
            <w:r>
              <w:rPr>
                <w:rFonts w:hint="eastAsia" w:ascii="Times New Roman" w:hAnsi="Times New Roman" w:eastAsia="方正仿宋_GBK" w:cs="方正仿宋_GBK"/>
                <w:sz w:val="24"/>
                <w:szCs w:val="24"/>
                <w:lang w:val="en-US" w:eastAsia="zh-CN"/>
              </w:rPr>
              <w:t>支</w:t>
            </w:r>
          </w:p>
        </w:tc>
        <w:tc>
          <w:tcPr>
            <w:tcW w:w="1272" w:type="dxa"/>
            <w:tcBorders>
              <w:top w:val="single" w:color="auto" w:sz="4" w:space="0"/>
              <w:bottom w:val="single" w:color="auto" w:sz="4" w:space="0"/>
            </w:tcBorders>
            <w:shd w:val="clear" w:color="auto" w:fill="auto"/>
            <w:vAlign w:val="center"/>
          </w:tcPr>
          <w:p w14:paraId="6CC2A9E6">
            <w:pPr>
              <w:overflowPunct w:val="0"/>
              <w:adjustRightInd w:val="0"/>
              <w:snapToGrid w:val="0"/>
              <w:spacing w:line="58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方正仿宋_GBK" w:cs="方正仿宋_GBK"/>
                <w:sz w:val="24"/>
                <w:szCs w:val="24"/>
                <w:lang w:val="en-US" w:eastAsia="zh-CN"/>
              </w:rPr>
              <w:t>3</w:t>
            </w:r>
          </w:p>
        </w:tc>
        <w:tc>
          <w:tcPr>
            <w:tcW w:w="1846" w:type="dxa"/>
            <w:tcBorders>
              <w:top w:val="single" w:color="auto" w:sz="4" w:space="0"/>
              <w:bottom w:val="single" w:color="auto" w:sz="4" w:space="0"/>
            </w:tcBorders>
            <w:shd w:val="clear" w:color="auto" w:fill="auto"/>
            <w:vAlign w:val="center"/>
          </w:tcPr>
          <w:p w14:paraId="17FB37D1">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0B5B7BB0">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1、耳用膝状镊：110mm,手术器械与患者接触部分材料应符合YY/0294.1-2016的C号钢的要求。手术器械的头经过热处理，其硬度达到45HRC以上表面粗糙度Ra值：与人体接触部分≤0.8μm 其余部位≤1.6μm。</w:t>
      </w:r>
    </w:p>
    <w:p w14:paraId="6540E47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2、筋膜压薄器：30*30mm,手术器械与患者接触部分材料应符合YY/0294.1-2016的C号钢的要求。手术器械的头经过热处理，其硬度达到45HRC以上表面粗糙度Ra值：与人体接触部分≤0.8μm  其余部位≤1.6μm。</w:t>
      </w:r>
    </w:p>
    <w:p w14:paraId="3D715D00">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3、持针钳：直型带锁12.5cm，头宽0.3mm,手术器械与患者接触部分材料应符合YY/0294.1-2016的C号钢的要求。手术器械的头经过热处理，其硬度达到45HRC以上表面粗糙度Ra值： 与人体接触部分≤0.8μm  其余部位≤1.6μm。</w:t>
      </w:r>
    </w:p>
    <w:p w14:paraId="07AABBEA">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4、中耳息肉钳</w:t>
      </w:r>
      <w:r>
        <w:rPr>
          <w:rFonts w:hint="eastAsia" w:cs="宋体"/>
          <w:color w:val="auto"/>
          <w:sz w:val="24"/>
          <w:szCs w:val="24"/>
          <w:lang w:val="en-US" w:eastAsia="zh-CN"/>
        </w:rPr>
        <w:t>（以下各型号数量由采购人根据需要确定）</w:t>
      </w:r>
      <w:r>
        <w:rPr>
          <w:rFonts w:hint="eastAsia" w:ascii="宋体" w:hAnsi="宋体" w:eastAsia="宋体" w:cs="宋体"/>
          <w:color w:val="auto"/>
          <w:sz w:val="24"/>
          <w:szCs w:val="24"/>
          <w:lang w:val="en-US" w:eastAsia="zh-CN"/>
        </w:rPr>
        <w:t>：</w:t>
      </w:r>
    </w:p>
    <w:p w14:paraId="5A63E7B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（1）麦粒头 5mm,手术器械与患者接触部分材料应符合YY/0294.1-2016的C号钢的要求。手术器械的头经过热处理，其硬度达到45HRC以上表面粗糙度Ra值：与人体接触部分≤0.8μm  其余部位≤1.6μm。</w:t>
      </w:r>
    </w:p>
    <w:p w14:paraId="6E29F097">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（2）麦粒头 3.5mm,手术器械与患者接触部分材料应符合YY/0294.1-2016的C号钢的要求。手术器械的头经过热处理，其硬度达到45HRC以上表面粗糙度Ra值;与人体接触部分≤0.8μm  其余部位≤1.6μm。</w:t>
      </w:r>
    </w:p>
    <w:p w14:paraId="08A70390">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5、乳突牵开器</w:t>
      </w:r>
      <w:r>
        <w:rPr>
          <w:rFonts w:hint="eastAsia" w:cs="宋体"/>
          <w:color w:val="auto"/>
          <w:sz w:val="24"/>
          <w:szCs w:val="24"/>
          <w:lang w:val="en-US" w:eastAsia="zh-CN"/>
        </w:rPr>
        <w:t>（以下各型号数量由采购人根据需要确定）</w:t>
      </w:r>
      <w:r>
        <w:rPr>
          <w:rFonts w:hint="eastAsia" w:ascii="宋体" w:hAnsi="宋体" w:eastAsia="宋体" w:cs="宋体"/>
          <w:color w:val="auto"/>
          <w:sz w:val="24"/>
          <w:szCs w:val="24"/>
          <w:lang w:val="en-US" w:eastAsia="zh-CN"/>
        </w:rPr>
        <w:t>：</w:t>
      </w:r>
    </w:p>
    <w:p w14:paraId="0B6A0B38">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（1）130mm 3*3齿 牵开6mm,手术器械与患者接触部分材料应符合YY/0294.1-2016的C号钢的要求。手术器械的头经过热处理，其硬度达到45HRC以上表面粗糙度Ra值： 与人体接触部分≤0.8μm  其余部位≤1.6μm。</w:t>
      </w:r>
    </w:p>
    <w:p w14:paraId="79B6E7C7">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（2）130mm 3齿右 尖头 弯,手术器械与患者接触部分材料应符合YY/0294.1-2016的C号钢的要求。手术器械的头经过热处理，其硬度达到45HRC以上表面粗糙度Ra值： 与人体接触部分≤0.8μm  其余部位≤1.6μm。</w:t>
      </w:r>
    </w:p>
    <w:p w14:paraId="33B37599">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（3）130mm 3齿左 尖头 弯,手术器械与患者接触部分材料应符合YY/0294.1-2016的C号钢的要求。手术器械的头经过热处理，其硬度达到45HRC以上表面粗糙度Ra值： 与人体接触部分≤0.8μm  其余部位≤1.6μm。</w:t>
      </w:r>
    </w:p>
    <w:p w14:paraId="17EE65B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（4）活动式160mm,手术器械与患者接触部分材料应符合YY/0294.1-2016的C号钢的要求。手术器械的头经过热处理，其硬度达到45HRC以上面粗糙度Ra值：与人体接触部分≤0.8μm  其余部位≤1.6μm。</w:t>
      </w:r>
    </w:p>
    <w:p w14:paraId="25D2098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6、耳息肉剪;140mm,手术器械与患者接触部分材料应符合YY/0294.1-2016的C号钢的要求。手术器械的头经过热处理，其硬度达到45HRC以上表面粗糙度Ra值：与人体接触部分≤0.8μm  其余部位≤1.6μm。</w:t>
      </w:r>
    </w:p>
    <w:p w14:paraId="6B643BB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7、中耳息肉剪</w:t>
      </w:r>
      <w:r>
        <w:rPr>
          <w:rFonts w:hint="eastAsia" w:cs="宋体"/>
          <w:color w:val="auto"/>
          <w:sz w:val="24"/>
          <w:szCs w:val="24"/>
          <w:lang w:val="en-US" w:eastAsia="zh-CN"/>
        </w:rPr>
        <w:t>（以下各型号数量由采购人根据需要确定）</w:t>
      </w:r>
      <w:r>
        <w:rPr>
          <w:rFonts w:hint="eastAsia" w:ascii="宋体" w:hAnsi="宋体" w:eastAsia="宋体" w:cs="宋体"/>
          <w:color w:val="auto"/>
          <w:sz w:val="24"/>
          <w:szCs w:val="24"/>
          <w:lang w:val="en-US" w:eastAsia="zh-CN"/>
        </w:rPr>
        <w:t>：</w:t>
      </w:r>
    </w:p>
    <w:p w14:paraId="25AC40F5">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（1）直形,手术器械与患者接触部分材料应符合YY/0294.1-2016的C号钢的要求。手术器械的头经过热处理，其硬度达到45HRC以上表面粗糙度Ra值：与人体接触部分≤0.8μm  其余部位≤1.6μm。</w:t>
      </w:r>
    </w:p>
    <w:p w14:paraId="79A2AE5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（2）左弯,手术器械与患者接触部分材料应符合YY/0294.1-2016的C号钢的要求。手术器械的头经过热处理，其硬度达到45HRC以上表面粗糙度Ra值：与人体接触部分≤0.8μm  其余部位≤1.6μm。</w:t>
      </w:r>
    </w:p>
    <w:p w14:paraId="7FE02987">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（3）右弯,手术器械与患者接触部分材料应符合YY/0294.1-2016的C号钢的要求。手术器械的头经过热处理，其硬度达到45HRC以上表面粗糙度Ra值：与人体接触部分≤0.8μm  其余部位≤1.6μm。</w:t>
      </w:r>
    </w:p>
    <w:p w14:paraId="1368D528">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8、五官科吸引管</w:t>
      </w:r>
      <w:r>
        <w:rPr>
          <w:rFonts w:hint="eastAsia" w:cs="宋体"/>
          <w:color w:val="auto"/>
          <w:sz w:val="24"/>
          <w:szCs w:val="24"/>
          <w:lang w:val="en-US" w:eastAsia="zh-CN"/>
        </w:rPr>
        <w:t>（以下各型号数量由采购人根据需要确定）</w:t>
      </w:r>
      <w:r>
        <w:rPr>
          <w:rFonts w:hint="eastAsia" w:ascii="宋体" w:hAnsi="宋体" w:eastAsia="宋体" w:cs="宋体"/>
          <w:color w:val="auto"/>
          <w:sz w:val="24"/>
          <w:szCs w:val="24"/>
          <w:lang w:val="en-US" w:eastAsia="zh-CN"/>
        </w:rPr>
        <w:t>：</w:t>
      </w:r>
    </w:p>
    <w:p w14:paraId="3B0B1E3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（1）弯φ2*85mm 带减压阀,手术器械与患者接触部分材料应符合YY/0294.1-2016的C号钢的要求。手术器械的头经过热处理，其硬度达到45HRC以上表面粗糙度Ra值： 与人体接触部分≤0.8μm  其余部位≤1.6μm。</w:t>
      </w:r>
    </w:p>
    <w:p w14:paraId="4AD90B45">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（2）弯φ1.5*85mm 带减压阀,手术器械与患者接触部分材料应符合YY/0294.1-2016的C号钢的要求。手术器械的头经过热处理，其硬度达到45HRC以上表面粗糙度Ra值： 与人体接触部分≤0.8μm  其余部位≤1.6μm。</w:t>
      </w:r>
    </w:p>
    <w:p w14:paraId="1F15952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（3）弯φ1*85mm 带减压阀,手术器械与患者接触部分材料应符合YY/0294.1-2016的C号钢的要求。手术器械的头经过热处理，其硬度达到45HRC以上表面粗糙度Ra值： 与人体接触部分≤0.8μm  其余部位≤1.6μm。</w:t>
      </w:r>
    </w:p>
    <w:p w14:paraId="2BF000F1">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9、鼻咬切钳</w:t>
      </w:r>
      <w:r>
        <w:rPr>
          <w:rFonts w:hint="eastAsia" w:cs="宋体"/>
          <w:color w:val="auto"/>
          <w:sz w:val="24"/>
          <w:szCs w:val="24"/>
          <w:lang w:val="en-US" w:eastAsia="zh-CN"/>
        </w:rPr>
        <w:t>（以下各型号数量由采购人根据需要确定）</w:t>
      </w:r>
      <w:r>
        <w:rPr>
          <w:rFonts w:hint="eastAsia" w:ascii="宋体" w:hAnsi="宋体" w:eastAsia="宋体" w:cs="宋体"/>
          <w:color w:val="auto"/>
          <w:sz w:val="24"/>
          <w:szCs w:val="24"/>
          <w:lang w:val="en-US" w:eastAsia="zh-CN"/>
        </w:rPr>
        <w:t>：</w:t>
      </w:r>
    </w:p>
    <w:p w14:paraId="2759F411">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（1）4*140mm 0°尖头(大),术器械的头、剪、鼻腔组织钳刀头部经热处理后，其硬度应不低于377HV,手术刀的刃口经热处理后其硬度不低于436HV0.2。</w:t>
      </w:r>
    </w:p>
    <w:p w14:paraId="49ADB0B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（2）4*140mm 30°尖头(大),术器械的头、剪、鼻腔组织钳刀头部经热处理后，其硬度应不低于377HV,手术刀的刃口经热处理后其硬度不低于436HV0.2。</w:t>
      </w:r>
    </w:p>
    <w:p w14:paraId="3A676183">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10、鼻腔吸引管：φ2.5，φ2*125mm,手术器械应有良好的腐蚀性，应符合YY/T0149-2006中a级要求。</w:t>
      </w:r>
    </w:p>
    <w:p w14:paraId="4580FA92">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11、耳内窥镜：0°30°Φ3*105mm,0°Φ1.9*104mm,视场角  50°±15%视向角 0° 30° 工作长度 105mm±3%角分辨率 ra （d）视场中心分辨力标称值4.083C/(°) 允差-10%有效景深 3~100mm颜色分辨能力和色还原性  光学观察镜A标准照明体下显色质素≥95% 光学观察镜D65标准照明体下显色质素≥95%照明变化率 光通量变化率≤20%综合光效  SLeR的测定值≥0.337。</w:t>
      </w:r>
    </w:p>
    <w:p w14:paraId="32ED7CF2">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12、鼻窦镜：0°,70°Φ4*175mm,视向角  0°、30° ±3°视场角 80°±15%视场中心角分辨力表值 2.6C/(°) 偏差-10%光学工作距离 12mm有效景深范围 。1mm-50mm在A标准照明体下的显色指数Ra≥85在D65标准照明体下的显色指数Ra≥85照明镜体光效ILeR≥0.65有效光度率DM≤1850cd/m2/lm单位相对畸变VU-Z的控制量 ≤25%</w:t>
      </w:r>
    </w:p>
    <w:p w14:paraId="64A4AC82">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13、尿道膀胱镜：0°，12°，30°Φ4*302mm,视场角 65°±15%视向角0°，12° 30° 视场中心角分辨力标称值：3.0C/（°）±10% 设计光学工作距标称值：20mm有效景深范围 3mm-100mm颜色分辨力和色还原性  A标准照明体下显色指数≥88D65标准照明体下显色指数≥88光能传递效率—有效光度率 ≤1850cd/㎡/1m工作长度 302mm ±3%插入部最大宽度 Φ4mm</w:t>
      </w:r>
      <w:r>
        <w:rPr>
          <w:rFonts w:hint="eastAsia" w:cs="宋体"/>
          <w:color w:val="auto"/>
          <w:sz w:val="24"/>
          <w:szCs w:val="24"/>
          <w:lang w:val="en-US" w:eastAsia="zh-CN"/>
        </w:rPr>
        <w:t>。</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0030CC2">
      <w:pPr>
        <w:pStyle w:val="7"/>
        <w:rPr>
          <w:rFonts w:hint="eastAsia" w:ascii="黑体" w:hAnsi="宋体" w:eastAsia="黑体"/>
          <w:b/>
          <w:bCs/>
          <w:sz w:val="32"/>
          <w:szCs w:val="32"/>
        </w:rPr>
      </w:pPr>
    </w:p>
    <w:p w14:paraId="3C7DFCBA">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color w:val="auto"/>
          <w:sz w:val="24"/>
          <w:lang w:eastAsia="zh-CN"/>
        </w:rPr>
        <w:t>，</w:t>
      </w:r>
      <w:r>
        <w:rPr>
          <w:rFonts w:hint="eastAsia" w:ascii="宋体" w:hAnsi="宋体"/>
          <w:bCs/>
          <w:color w:val="FF0000"/>
          <w:sz w:val="24"/>
          <w:lang w:eastAsia="zh-CN"/>
        </w:rPr>
        <w:t>样品审核通过后</w:t>
      </w:r>
      <w:r>
        <w:rPr>
          <w:rFonts w:hint="eastAsia" w:ascii="宋体" w:hAnsi="宋体"/>
          <w:bCs/>
          <w:color w:val="FF0000"/>
          <w:sz w:val="24"/>
        </w:rPr>
        <w:t>递交</w:t>
      </w:r>
      <w:r>
        <w:rPr>
          <w:rFonts w:hint="eastAsia" w:ascii="宋体" w:hAnsi="宋体"/>
          <w:bCs/>
          <w:color w:val="FF0000"/>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1854</Words>
  <Characters>2047</Characters>
  <Lines>0</Lines>
  <Paragraphs>0</Paragraphs>
  <TotalTime>1</TotalTime>
  <ScaleCrop>false</ScaleCrop>
  <LinksUpToDate>false</LinksUpToDate>
  <CharactersWithSpaces>2097</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2025-02-14T00:37:36Z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