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B1B57">
      <w:pPr>
        <w:pStyle w:val="12"/>
        <w:rPr>
          <w:rFonts w:hint="default"/>
        </w:rPr>
      </w:pPr>
      <w:r>
        <w:br w:type="textWrapping"/>
      </w:r>
    </w:p>
    <w:p w14:paraId="69B41622">
      <w:pPr>
        <w:pStyle w:val="12"/>
        <w:rPr>
          <w:rFonts w:hint="default"/>
        </w:rPr>
      </w:pPr>
    </w:p>
    <w:p w14:paraId="3638DC7D">
      <w:pPr>
        <w:pStyle w:val="12"/>
        <w:rPr>
          <w:rFonts w:hint="default"/>
        </w:rPr>
      </w:pPr>
    </w:p>
    <w:p w14:paraId="70F470CA">
      <w:pPr>
        <w:pStyle w:val="12"/>
        <w:rPr>
          <w:rFonts w:hint="default"/>
        </w:rPr>
      </w:pPr>
    </w:p>
    <w:p w14:paraId="637B3B15">
      <w:pPr>
        <w:pStyle w:val="12"/>
        <w:rPr>
          <w:rFonts w:hint="default"/>
        </w:rPr>
      </w:pPr>
    </w:p>
    <w:p w14:paraId="2B629894">
      <w:pPr>
        <w:pStyle w:val="12"/>
        <w:jc w:val="center"/>
        <w:outlineLvl w:val="0"/>
        <w:rPr>
          <w:rFonts w:hint="default"/>
        </w:rPr>
      </w:pPr>
      <w:r>
        <w:rPr>
          <w:b/>
          <w:sz w:val="48"/>
        </w:rPr>
        <w:t>招 标 文 件</w:t>
      </w:r>
    </w:p>
    <w:p w14:paraId="7CC2B563">
      <w:pPr>
        <w:pStyle w:val="12"/>
        <w:jc w:val="center"/>
        <w:outlineLvl w:val="0"/>
        <w:rPr>
          <w:rFonts w:hint="default"/>
        </w:rPr>
      </w:pPr>
      <w:r>
        <w:rPr>
          <w:b/>
          <w:sz w:val="48"/>
        </w:rPr>
        <w:t>（服务类）</w:t>
      </w:r>
    </w:p>
    <w:p w14:paraId="6DDD502D">
      <w:pPr>
        <w:pStyle w:val="12"/>
        <w:outlineLvl w:val="2"/>
        <w:rPr>
          <w:rFonts w:hint="default"/>
          <w:b/>
          <w:sz w:val="28"/>
        </w:rPr>
      </w:pPr>
    </w:p>
    <w:p w14:paraId="1BE21826">
      <w:pPr>
        <w:pStyle w:val="12"/>
        <w:outlineLvl w:val="2"/>
        <w:rPr>
          <w:rFonts w:hint="default"/>
          <w:b/>
          <w:sz w:val="28"/>
        </w:rPr>
      </w:pPr>
    </w:p>
    <w:p w14:paraId="4BF1F936">
      <w:pPr>
        <w:pStyle w:val="12"/>
        <w:outlineLvl w:val="2"/>
        <w:rPr>
          <w:rFonts w:hint="default"/>
          <w:b/>
          <w:sz w:val="28"/>
        </w:rPr>
      </w:pPr>
    </w:p>
    <w:p w14:paraId="26ED1837">
      <w:pPr>
        <w:pStyle w:val="12"/>
        <w:outlineLvl w:val="2"/>
        <w:rPr>
          <w:rFonts w:hint="default"/>
          <w:b/>
          <w:sz w:val="28"/>
        </w:rPr>
      </w:pPr>
    </w:p>
    <w:p w14:paraId="2C8934A2">
      <w:pPr>
        <w:pStyle w:val="12"/>
        <w:outlineLvl w:val="2"/>
        <w:rPr>
          <w:rFonts w:hint="default"/>
          <w:b/>
          <w:sz w:val="28"/>
        </w:rPr>
      </w:pPr>
    </w:p>
    <w:p w14:paraId="6C55027E">
      <w:pPr>
        <w:pStyle w:val="12"/>
        <w:outlineLvl w:val="2"/>
        <w:rPr>
          <w:rFonts w:hint="default"/>
          <w:b/>
          <w:sz w:val="28"/>
        </w:rPr>
      </w:pPr>
    </w:p>
    <w:p w14:paraId="4FFAAA60">
      <w:pPr>
        <w:pStyle w:val="12"/>
        <w:outlineLvl w:val="2"/>
        <w:rPr>
          <w:rFonts w:hint="default"/>
          <w:b/>
          <w:sz w:val="28"/>
        </w:rPr>
      </w:pPr>
    </w:p>
    <w:p w14:paraId="05B10B5C">
      <w:pPr>
        <w:pStyle w:val="12"/>
        <w:outlineLvl w:val="2"/>
        <w:rPr>
          <w:rFonts w:hint="default"/>
          <w:b/>
          <w:sz w:val="28"/>
        </w:rPr>
      </w:pPr>
    </w:p>
    <w:p w14:paraId="2D2F05AA">
      <w:pPr>
        <w:pStyle w:val="12"/>
        <w:outlineLvl w:val="2"/>
        <w:rPr>
          <w:rFonts w:hint="default"/>
          <w:b/>
          <w:sz w:val="28"/>
        </w:rPr>
      </w:pPr>
    </w:p>
    <w:p w14:paraId="6C72ABBB">
      <w:pPr>
        <w:pStyle w:val="12"/>
        <w:outlineLvl w:val="2"/>
        <w:rPr>
          <w:rFonts w:hint="default"/>
          <w:b/>
          <w:sz w:val="28"/>
        </w:rPr>
      </w:pPr>
    </w:p>
    <w:p w14:paraId="60291F4E">
      <w:pPr>
        <w:pStyle w:val="12"/>
        <w:outlineLvl w:val="2"/>
        <w:rPr>
          <w:rFonts w:hint="default"/>
          <w:b/>
          <w:sz w:val="28"/>
        </w:rPr>
      </w:pPr>
    </w:p>
    <w:p w14:paraId="4748643B">
      <w:pPr>
        <w:pStyle w:val="12"/>
        <w:outlineLvl w:val="2"/>
        <w:rPr>
          <w:rFonts w:hint="default"/>
          <w:b/>
          <w:sz w:val="28"/>
        </w:rPr>
      </w:pPr>
    </w:p>
    <w:p w14:paraId="41E466CE">
      <w:pPr>
        <w:pStyle w:val="12"/>
        <w:jc w:val="center"/>
        <w:outlineLvl w:val="2"/>
        <w:rPr>
          <w:rFonts w:hint="default"/>
          <w:b/>
          <w:sz w:val="28"/>
        </w:rPr>
      </w:pPr>
      <w:r>
        <w:rPr>
          <w:b/>
          <w:sz w:val="28"/>
        </w:rPr>
        <w:t>采购项目名称：</w:t>
      </w:r>
      <w:r>
        <w:rPr>
          <w:b/>
          <w:sz w:val="28"/>
          <w:lang w:eastAsia="zh-CN"/>
        </w:rPr>
        <w:t>邻水县人民医院</w:t>
      </w:r>
      <w:r>
        <w:rPr>
          <w:b/>
          <w:sz w:val="28"/>
        </w:rPr>
        <w:t>食堂</w:t>
      </w:r>
      <w:r>
        <w:rPr>
          <w:b/>
          <w:sz w:val="28"/>
          <w:lang w:eastAsia="zh-CN"/>
        </w:rPr>
        <w:t>外</w:t>
      </w:r>
      <w:r>
        <w:rPr>
          <w:b/>
          <w:sz w:val="28"/>
        </w:rPr>
        <w:t>包服务</w:t>
      </w:r>
    </w:p>
    <w:p w14:paraId="724564B3">
      <w:pPr>
        <w:pStyle w:val="12"/>
        <w:ind w:firstLine="1687" w:firstLineChars="600"/>
        <w:jc w:val="both"/>
        <w:outlineLvl w:val="2"/>
        <w:rPr>
          <w:rFonts w:hint="default"/>
          <w:b/>
          <w:sz w:val="28"/>
        </w:rPr>
      </w:pPr>
      <w:r>
        <w:rPr>
          <w:b/>
          <w:sz w:val="28"/>
        </w:rPr>
        <w:t>采购项目编号：</w:t>
      </w:r>
      <w:r>
        <w:rPr>
          <w:rFonts w:hint="eastAsia" w:ascii="宋体"/>
          <w:b/>
          <w:sz w:val="30"/>
          <w:szCs w:val="30"/>
          <w:lang w:eastAsia="zh-CN"/>
        </w:rPr>
        <w:t>LYC-2025-00</w:t>
      </w:r>
      <w:r>
        <w:rPr>
          <w:rFonts w:hint="eastAsia" w:ascii="宋体"/>
          <w:b/>
          <w:sz w:val="30"/>
          <w:szCs w:val="30"/>
          <w:lang w:val="en-US" w:eastAsia="zh-CN"/>
        </w:rPr>
        <w:t>8</w:t>
      </w:r>
    </w:p>
    <w:p w14:paraId="29B59D7E">
      <w:pPr>
        <w:pStyle w:val="12"/>
        <w:jc w:val="center"/>
        <w:outlineLvl w:val="2"/>
        <w:rPr>
          <w:rFonts w:hint="default"/>
          <w:b/>
          <w:sz w:val="28"/>
        </w:rPr>
      </w:pPr>
    </w:p>
    <w:p w14:paraId="63157432">
      <w:pPr>
        <w:pStyle w:val="12"/>
        <w:jc w:val="center"/>
        <w:outlineLvl w:val="2"/>
        <w:rPr>
          <w:rFonts w:hint="default"/>
          <w:b/>
          <w:sz w:val="28"/>
        </w:rPr>
      </w:pPr>
    </w:p>
    <w:p w14:paraId="0406E24E">
      <w:pPr>
        <w:pStyle w:val="12"/>
        <w:jc w:val="center"/>
        <w:outlineLvl w:val="2"/>
        <w:rPr>
          <w:rFonts w:hint="default"/>
          <w:b/>
          <w:sz w:val="28"/>
        </w:rPr>
      </w:pPr>
    </w:p>
    <w:p w14:paraId="700E6DBA">
      <w:pPr>
        <w:pStyle w:val="12"/>
        <w:jc w:val="center"/>
        <w:outlineLvl w:val="2"/>
        <w:rPr>
          <w:rFonts w:hint="default"/>
          <w:b/>
          <w:sz w:val="28"/>
        </w:rPr>
      </w:pPr>
    </w:p>
    <w:p w14:paraId="398505AD">
      <w:pPr>
        <w:pStyle w:val="12"/>
        <w:jc w:val="center"/>
        <w:outlineLvl w:val="2"/>
        <w:rPr>
          <w:rFonts w:hint="default"/>
        </w:rPr>
      </w:pPr>
      <w:r>
        <w:rPr>
          <w:b/>
          <w:sz w:val="28"/>
          <w:lang w:eastAsia="zh-CN"/>
        </w:rPr>
        <w:t>邻水县人民医院</w:t>
      </w:r>
      <w:r>
        <w:rPr>
          <w:b/>
          <w:sz w:val="28"/>
        </w:rPr>
        <w:t>编制</w:t>
      </w:r>
    </w:p>
    <w:p w14:paraId="3A60E779">
      <w:pPr>
        <w:pStyle w:val="12"/>
        <w:jc w:val="center"/>
        <w:rPr>
          <w:rFonts w:hint="default"/>
        </w:rPr>
      </w:pPr>
      <w:r>
        <w:rPr>
          <w:sz w:val="28"/>
          <w:szCs w:val="28"/>
        </w:rPr>
        <w:t>202</w:t>
      </w:r>
      <w:r>
        <w:rPr>
          <w:rFonts w:hint="eastAsia"/>
          <w:sz w:val="28"/>
          <w:szCs w:val="28"/>
          <w:lang w:val="en-US" w:eastAsia="zh-CN"/>
        </w:rPr>
        <w:t>5</w:t>
      </w:r>
      <w:r>
        <w:rPr>
          <w:sz w:val="28"/>
          <w:szCs w:val="28"/>
        </w:rPr>
        <w:t>年</w:t>
      </w:r>
      <w:r>
        <w:rPr>
          <w:rFonts w:hint="eastAsia"/>
          <w:sz w:val="28"/>
          <w:szCs w:val="28"/>
          <w:lang w:val="en-US" w:eastAsia="zh-CN"/>
        </w:rPr>
        <w:t>0</w:t>
      </w:r>
      <w:r>
        <w:rPr>
          <w:sz w:val="28"/>
          <w:szCs w:val="28"/>
        </w:rPr>
        <w:t>1月</w:t>
      </w:r>
      <w:r>
        <w:rPr>
          <w:sz w:val="28"/>
          <w:szCs w:val="28"/>
          <w:lang w:eastAsia="zh-CN"/>
        </w:rPr>
        <w:t>2</w:t>
      </w:r>
      <w:r>
        <w:rPr>
          <w:rFonts w:hint="eastAsia"/>
          <w:sz w:val="28"/>
          <w:szCs w:val="28"/>
          <w:lang w:val="en-US" w:eastAsia="zh-CN"/>
        </w:rPr>
        <w:t>2</w:t>
      </w:r>
      <w:r>
        <w:rPr>
          <w:sz w:val="28"/>
          <w:szCs w:val="28"/>
        </w:rPr>
        <w:t>日</w:t>
      </w:r>
    </w:p>
    <w:p w14:paraId="4A6514AE">
      <w:pPr>
        <w:pStyle w:val="12"/>
        <w:rPr>
          <w:rFonts w:hint="default"/>
        </w:rPr>
      </w:pPr>
      <w:r>
        <w:t xml:space="preserve"> </w:t>
      </w:r>
      <w:r>
        <w:br w:type="textWrapping"/>
      </w:r>
      <w:r>
        <w:br w:type="page"/>
      </w:r>
    </w:p>
    <w:p w14:paraId="37CA7BC6">
      <w:pPr>
        <w:pStyle w:val="12"/>
        <w:jc w:val="center"/>
        <w:outlineLvl w:val="1"/>
        <w:rPr>
          <w:rFonts w:hint="default"/>
        </w:rPr>
      </w:pPr>
      <w:r>
        <w:rPr>
          <w:b/>
          <w:sz w:val="36"/>
        </w:rPr>
        <w:t>第一章 投标邀请</w:t>
      </w:r>
    </w:p>
    <w:p w14:paraId="7DA52519">
      <w:pPr>
        <w:pStyle w:val="12"/>
        <w:ind w:firstLine="480"/>
        <w:rPr>
          <w:rFonts w:hint="default"/>
        </w:rPr>
      </w:pPr>
      <w:r>
        <w:rPr>
          <w:lang w:eastAsia="zh-CN"/>
        </w:rPr>
        <w:t>邻水县人民医院</w:t>
      </w:r>
      <w:r>
        <w:t>拟对食堂</w:t>
      </w:r>
      <w:r>
        <w:rPr>
          <w:lang w:eastAsia="zh-CN"/>
        </w:rPr>
        <w:t>外</w:t>
      </w:r>
      <w:r>
        <w:t>包服务采用公开招标方式进行采购，兹邀请符合本次招标要求的供应商参加投标。</w:t>
      </w:r>
    </w:p>
    <w:p w14:paraId="68435CDF">
      <w:pPr>
        <w:pStyle w:val="12"/>
        <w:outlineLvl w:val="2"/>
        <w:rPr>
          <w:rFonts w:hint="default"/>
        </w:rPr>
      </w:pPr>
      <w:r>
        <w:rPr>
          <w:b/>
          <w:sz w:val="28"/>
        </w:rPr>
        <w:t>1.1.采购项目编号：</w:t>
      </w:r>
      <w:r>
        <w:rPr>
          <w:rFonts w:hint="eastAsia" w:ascii="宋体"/>
          <w:b w:val="0"/>
          <w:bCs/>
          <w:sz w:val="22"/>
          <w:szCs w:val="22"/>
          <w:lang w:eastAsia="zh-CN"/>
        </w:rPr>
        <w:t>LYC-2025-00</w:t>
      </w:r>
      <w:r>
        <w:rPr>
          <w:rFonts w:hint="eastAsia" w:ascii="宋体"/>
          <w:b w:val="0"/>
          <w:bCs/>
          <w:sz w:val="22"/>
          <w:szCs w:val="22"/>
          <w:lang w:val="en-US" w:eastAsia="zh-CN"/>
        </w:rPr>
        <w:t>8</w:t>
      </w:r>
      <w:r>
        <w:rPr>
          <w:b/>
          <w:sz w:val="28"/>
        </w:rPr>
        <w:t xml:space="preserve"> </w:t>
      </w:r>
    </w:p>
    <w:p w14:paraId="7271C43E">
      <w:pPr>
        <w:pStyle w:val="12"/>
        <w:outlineLvl w:val="2"/>
        <w:rPr>
          <w:rFonts w:hint="default"/>
          <w:lang w:eastAsia="zh-CN"/>
        </w:rPr>
      </w:pPr>
      <w:r>
        <w:rPr>
          <w:b/>
          <w:sz w:val="28"/>
        </w:rPr>
        <w:t>1.2.采购项目名称：</w:t>
      </w:r>
      <w:r>
        <w:rPr>
          <w:lang w:eastAsia="zh-CN"/>
        </w:rPr>
        <w:t>邻水县人民医院食堂外包服务</w:t>
      </w:r>
    </w:p>
    <w:p w14:paraId="554FB05D">
      <w:pPr>
        <w:pStyle w:val="12"/>
        <w:outlineLvl w:val="2"/>
        <w:rPr>
          <w:rFonts w:hint="default"/>
        </w:rPr>
      </w:pPr>
      <w:r>
        <w:rPr>
          <w:b/>
          <w:sz w:val="28"/>
        </w:rPr>
        <w:t>1.3.招标项目简介</w:t>
      </w:r>
    </w:p>
    <w:p w14:paraId="3F6B315E">
      <w:pPr>
        <w:pStyle w:val="12"/>
        <w:ind w:firstLine="480"/>
        <w:rPr>
          <w:rFonts w:hint="default"/>
        </w:rPr>
      </w:pPr>
      <w:r>
        <w:t>根据</w:t>
      </w:r>
      <w:r>
        <w:rPr>
          <w:lang w:eastAsia="zh-CN"/>
        </w:rPr>
        <w:t>邻水县人民医院</w:t>
      </w:r>
      <w:r>
        <w:t>工作需要，对</w:t>
      </w:r>
      <w:r>
        <w:rPr>
          <w:lang w:eastAsia="zh-CN"/>
        </w:rPr>
        <w:t>食堂进行外包，食堂须向</w:t>
      </w:r>
      <w:r>
        <w:t>医院职工、病人及家属提供早餐、午餐、晚餐服务和医院业务接待餐服务，包括但不限于所有食材的购买、运输、烹饪以及对食堂的清洁工作等。</w:t>
      </w:r>
    </w:p>
    <w:p w14:paraId="5C357C0C">
      <w:pPr>
        <w:pStyle w:val="12"/>
        <w:outlineLvl w:val="2"/>
        <w:rPr>
          <w:rFonts w:hint="default"/>
        </w:rPr>
      </w:pPr>
      <w:r>
        <w:rPr>
          <w:b/>
          <w:sz w:val="28"/>
        </w:rPr>
        <w:t>1.4.邀请供应商方式</w:t>
      </w:r>
    </w:p>
    <w:p w14:paraId="348F7B0D">
      <w:pPr>
        <w:pStyle w:val="12"/>
        <w:ind w:firstLine="480"/>
        <w:rPr>
          <w:rFonts w:hint="default"/>
        </w:rPr>
      </w:pPr>
      <w:r>
        <w:t>本项目以招标公告的方式邀请供应商参加投标，招标公告在</w:t>
      </w:r>
      <w:r>
        <w:rPr>
          <w:lang w:eastAsia="zh-CN"/>
        </w:rPr>
        <w:t>邻水县人民医院网（http://www.lsxrmyy.cn/）</w:t>
      </w:r>
      <w:r>
        <w:rPr>
          <w:rFonts w:hint="eastAsia"/>
          <w:lang w:eastAsia="zh-CN"/>
        </w:rPr>
        <w:t>或广安公共资源交易网（https://gasggzy.cn/）</w:t>
      </w:r>
      <w:r>
        <w:rPr>
          <w:rFonts w:hint="eastAsia" w:ascii="宋体" w:hAnsi="宋体"/>
          <w:bCs/>
          <w:color w:val="auto"/>
          <w:sz w:val="24"/>
          <w:lang w:eastAsia="zh-CN"/>
        </w:rPr>
        <w:t>上</w:t>
      </w:r>
      <w:r>
        <w:t>发布。</w:t>
      </w:r>
    </w:p>
    <w:p w14:paraId="25AE3C9B">
      <w:pPr>
        <w:pStyle w:val="12"/>
        <w:outlineLvl w:val="2"/>
        <w:rPr>
          <w:rFonts w:hint="default"/>
        </w:rPr>
      </w:pPr>
      <w:r>
        <w:rPr>
          <w:b/>
          <w:sz w:val="28"/>
        </w:rPr>
        <w:t>1.5.供应商参加本次政府采购活动应具备的条件</w:t>
      </w:r>
    </w:p>
    <w:p w14:paraId="259557C2">
      <w:pPr>
        <w:pStyle w:val="12"/>
        <w:ind w:firstLine="480"/>
        <w:rPr>
          <w:rFonts w:hint="default"/>
        </w:rPr>
      </w:pPr>
      <w:r>
        <w:t>根据《中华人民共和国政府采购法》第二十二条规定，供应商应当具备下列条件：</w:t>
      </w:r>
    </w:p>
    <w:p w14:paraId="33D7B73E">
      <w:pPr>
        <w:pStyle w:val="12"/>
        <w:ind w:firstLine="480"/>
        <w:rPr>
          <w:rFonts w:hint="default"/>
        </w:rPr>
      </w:pPr>
      <w:r>
        <w:t>一、需要满足的一般资格要求:</w:t>
      </w:r>
    </w:p>
    <w:p w14:paraId="378F12BD">
      <w:pPr>
        <w:pStyle w:val="12"/>
        <w:ind w:firstLine="480"/>
        <w:rPr>
          <w:rFonts w:hint="default"/>
        </w:rPr>
      </w:pPr>
      <w:r>
        <w:t>（一）具有独立承担民事责任的能力；</w:t>
      </w:r>
    </w:p>
    <w:p w14:paraId="26D3159F">
      <w:pPr>
        <w:pStyle w:val="12"/>
        <w:ind w:firstLine="480"/>
        <w:rPr>
          <w:rFonts w:hint="default"/>
        </w:rPr>
      </w:pPr>
      <w:r>
        <w:t>（二）具有良好的商业信誉和健全的财务会计制度；</w:t>
      </w:r>
    </w:p>
    <w:p w14:paraId="79AD99C4">
      <w:pPr>
        <w:pStyle w:val="12"/>
        <w:ind w:firstLine="480"/>
        <w:rPr>
          <w:rFonts w:hint="default"/>
        </w:rPr>
      </w:pPr>
      <w:r>
        <w:t>（三）具有履行合同所必需的设备和专业技术能力；</w:t>
      </w:r>
    </w:p>
    <w:p w14:paraId="798AD66B">
      <w:pPr>
        <w:pStyle w:val="12"/>
        <w:ind w:firstLine="480"/>
        <w:rPr>
          <w:rFonts w:hint="default"/>
        </w:rPr>
      </w:pPr>
      <w:r>
        <w:t>（四）有依法缴纳税收和社会保障资金的良好记录；</w:t>
      </w:r>
    </w:p>
    <w:p w14:paraId="59D54F13">
      <w:pPr>
        <w:pStyle w:val="12"/>
        <w:ind w:firstLine="480"/>
        <w:rPr>
          <w:rFonts w:hint="default"/>
        </w:rPr>
      </w:pPr>
      <w:r>
        <w:t>（五）参加政府采购活动前三年内，在经营活动中没有重大违法记录。</w:t>
      </w:r>
    </w:p>
    <w:p w14:paraId="53F29CB9">
      <w:pPr>
        <w:pStyle w:val="12"/>
        <w:ind w:firstLine="480"/>
        <w:rPr>
          <w:rFonts w:hint="default"/>
        </w:rPr>
      </w:pPr>
      <w:r>
        <w:t>二、落实政府采购政策需满足的资格要求：</w:t>
      </w:r>
    </w:p>
    <w:p w14:paraId="565F65CA">
      <w:pPr>
        <w:pStyle w:val="12"/>
        <w:ind w:firstLine="480"/>
        <w:rPr>
          <w:rFonts w:hint="default"/>
        </w:rPr>
      </w:pPr>
      <w:r>
        <w:rPr>
          <w:lang w:eastAsia="zh-CN"/>
        </w:rPr>
        <w:t>非</w:t>
      </w:r>
      <w:r>
        <w:t>专门面向中小企业采购。</w:t>
      </w:r>
    </w:p>
    <w:p w14:paraId="585F7BE7">
      <w:pPr>
        <w:pStyle w:val="12"/>
        <w:ind w:firstLine="480"/>
        <w:rPr>
          <w:rFonts w:hint="default"/>
        </w:rPr>
      </w:pPr>
      <w:r>
        <w:t>三、本项目的特定资格要求：</w:t>
      </w:r>
    </w:p>
    <w:p w14:paraId="3E371F0E">
      <w:pPr>
        <w:pStyle w:val="12"/>
        <w:ind w:firstLine="480"/>
        <w:rPr>
          <w:rFonts w:hint="eastAsia" w:eastAsiaTheme="minorEastAsia"/>
          <w:lang w:eastAsia="zh-CN"/>
        </w:rPr>
      </w:pPr>
      <w:r>
        <w:t>供应商须具备有效期内《食品经营许可证》或《食品经营许可备案电子证书》</w:t>
      </w:r>
      <w:r>
        <w:rPr>
          <w:rFonts w:hint="eastAsia"/>
          <w:lang w:eastAsia="zh-CN"/>
        </w:rPr>
        <w:t>。</w:t>
      </w:r>
    </w:p>
    <w:p w14:paraId="79D292B2">
      <w:pPr>
        <w:pStyle w:val="12"/>
        <w:outlineLvl w:val="2"/>
        <w:rPr>
          <w:rFonts w:hint="default"/>
        </w:rPr>
      </w:pPr>
      <w:r>
        <w:rPr>
          <w:b/>
          <w:sz w:val="28"/>
        </w:rPr>
        <w:t>1.7.招标文件获取方式</w:t>
      </w:r>
      <w:r>
        <w:rPr>
          <w:rFonts w:hint="eastAsia"/>
          <w:b/>
          <w:sz w:val="28"/>
        </w:rPr>
        <w:t>、</w:t>
      </w:r>
      <w:r>
        <w:rPr>
          <w:rFonts w:hint="eastAsia"/>
          <w:b/>
          <w:sz w:val="28"/>
          <w:lang w:eastAsia="zh-CN"/>
        </w:rPr>
        <w:t>报名</w:t>
      </w:r>
      <w:r>
        <w:rPr>
          <w:rFonts w:hint="eastAsia"/>
          <w:b/>
          <w:sz w:val="28"/>
        </w:rPr>
        <w:t>时间、</w:t>
      </w:r>
      <w:r>
        <w:rPr>
          <w:rFonts w:hint="eastAsia"/>
          <w:b/>
          <w:sz w:val="28"/>
          <w:lang w:eastAsia="zh-CN"/>
        </w:rPr>
        <w:t>报名</w:t>
      </w:r>
      <w:r>
        <w:rPr>
          <w:rFonts w:hint="eastAsia"/>
          <w:b/>
          <w:sz w:val="28"/>
        </w:rPr>
        <w:t>地点</w:t>
      </w:r>
    </w:p>
    <w:p w14:paraId="4301BDB9">
      <w:pPr>
        <w:pStyle w:val="12"/>
        <w:ind w:firstLine="480"/>
        <w:rPr>
          <w:rFonts w:hint="default"/>
          <w:lang w:val="en-US" w:eastAsia="zh-CN"/>
        </w:rPr>
      </w:pPr>
      <w:r>
        <w:rPr>
          <w:rFonts w:hint="eastAsia"/>
        </w:rPr>
        <w:t>凡有意参加投标者，请于 202</w:t>
      </w:r>
      <w:r>
        <w:rPr>
          <w:rFonts w:hint="eastAsia"/>
          <w:lang w:val="en-US" w:eastAsia="zh-CN"/>
        </w:rPr>
        <w:t>5</w:t>
      </w:r>
      <w:r>
        <w:rPr>
          <w:rFonts w:hint="eastAsia"/>
        </w:rPr>
        <w:t>年</w:t>
      </w:r>
      <w:r>
        <w:rPr>
          <w:rFonts w:hint="eastAsia"/>
          <w:u w:val="single"/>
        </w:rPr>
        <w:t xml:space="preserve"> </w:t>
      </w:r>
      <w:r>
        <w:rPr>
          <w:rFonts w:hint="eastAsia"/>
          <w:u w:val="single"/>
          <w:lang w:val="en-US" w:eastAsia="zh-CN"/>
        </w:rPr>
        <w:t>2</w:t>
      </w:r>
      <w:r>
        <w:rPr>
          <w:rFonts w:hint="eastAsia"/>
          <w:u w:val="single"/>
        </w:rPr>
        <w:t xml:space="preserve"> 月 </w:t>
      </w:r>
      <w:r>
        <w:rPr>
          <w:rFonts w:hint="eastAsia"/>
          <w:u w:val="single"/>
          <w:lang w:val="en-US" w:eastAsia="zh-CN"/>
        </w:rPr>
        <w:t xml:space="preserve">12 </w:t>
      </w:r>
      <w:r>
        <w:rPr>
          <w:rFonts w:hint="eastAsia"/>
          <w:u w:val="single"/>
        </w:rPr>
        <w:t>日</w:t>
      </w:r>
      <w:r>
        <w:rPr>
          <w:rFonts w:hint="eastAsia"/>
          <w:lang w:val="en-US" w:eastAsia="zh-CN"/>
        </w:rPr>
        <w:t>17</w:t>
      </w:r>
      <w:r>
        <w:rPr>
          <w:rFonts w:hint="eastAsia"/>
        </w:rPr>
        <w:t>时</w:t>
      </w:r>
      <w:r>
        <w:rPr>
          <w:rFonts w:hint="eastAsia"/>
          <w:lang w:val="en-US" w:eastAsia="zh-CN"/>
        </w:rPr>
        <w:t>00</w:t>
      </w:r>
      <w:r>
        <w:rPr>
          <w:rFonts w:hint="eastAsia"/>
        </w:rPr>
        <w:t>分（北京时间，下同）</w:t>
      </w:r>
      <w:r>
        <w:rPr>
          <w:rFonts w:hint="eastAsia"/>
          <w:lang w:eastAsia="zh-CN"/>
        </w:rPr>
        <w:t>前</w:t>
      </w:r>
      <w:r>
        <w:rPr>
          <w:rFonts w:hint="eastAsia"/>
        </w:rPr>
        <w:t>，</w:t>
      </w:r>
      <w:r>
        <w:rPr>
          <w:rFonts w:hint="eastAsia"/>
          <w:lang w:eastAsia="zh-CN"/>
        </w:rPr>
        <w:t>在邻水县人民医院采购办邮箱</w:t>
      </w:r>
      <w:r>
        <w:t>487671930</w:t>
      </w:r>
      <w:r>
        <w:rPr>
          <w:rFonts w:hint="eastAsia"/>
          <w:lang w:val="en-US" w:eastAsia="zh-CN"/>
        </w:rPr>
        <w:t>@qq.com上传报名资料（所有扫描件需加盖鲜章）</w:t>
      </w:r>
      <w:r>
        <w:rPr>
          <w:rFonts w:hint="eastAsia"/>
          <w:lang w:eastAsia="zh-CN"/>
        </w:rPr>
        <w:t>报名。报名资料：营业执照、法人授权委托书、身份证复印件。招标文件在邻水县人民医院网（http://www.lsxrmyy.cn/）自行下载。</w:t>
      </w:r>
    </w:p>
    <w:p w14:paraId="01CC3C3C">
      <w:pPr>
        <w:pStyle w:val="12"/>
        <w:ind w:firstLine="480"/>
        <w:rPr>
          <w:rFonts w:hint="default"/>
          <w:sz w:val="20"/>
          <w:szCs w:val="20"/>
        </w:rPr>
      </w:pPr>
      <w:r>
        <w:rPr>
          <w:rFonts w:hint="eastAsia" w:ascii="宋体" w:hAnsi="宋体"/>
          <w:color w:val="auto"/>
          <w:sz w:val="20"/>
          <w:szCs w:val="20"/>
        </w:rPr>
        <w:t>投标资格不能转让。报名的依据，以</w:t>
      </w:r>
      <w:r>
        <w:rPr>
          <w:rFonts w:hint="eastAsia" w:ascii="宋体" w:hAnsi="宋体"/>
          <w:color w:val="auto"/>
          <w:sz w:val="20"/>
          <w:szCs w:val="20"/>
          <w:lang w:eastAsia="zh-CN"/>
        </w:rPr>
        <w:t>邻水县人民医院采购办收到的</w:t>
      </w:r>
      <w:r>
        <w:rPr>
          <w:rFonts w:hint="eastAsia" w:ascii="宋体" w:hAnsi="宋体"/>
          <w:color w:val="auto"/>
          <w:sz w:val="20"/>
          <w:szCs w:val="20"/>
        </w:rPr>
        <w:t>报名汇总情况为准。未按照本项规定的方式、时限报名，其投标将被拒绝。</w:t>
      </w:r>
      <w:r>
        <w:rPr>
          <w:rFonts w:hint="eastAsia" w:ascii="宋体" w:hAnsi="宋体" w:eastAsia="宋体" w:cs="Times New Roman"/>
          <w:b w:val="0"/>
          <w:bCs w:val="0"/>
          <w:color w:val="FF0000"/>
          <w:sz w:val="20"/>
          <w:szCs w:val="20"/>
          <w:lang w:val="en-US" w:eastAsia="zh-CN"/>
        </w:rPr>
        <w:t>不同供应商使用同一邮箱或IP地址报名、投标，视为无效</w:t>
      </w:r>
      <w:r>
        <w:rPr>
          <w:sz w:val="20"/>
          <w:szCs w:val="20"/>
        </w:rPr>
        <w:t>。</w:t>
      </w:r>
    </w:p>
    <w:p w14:paraId="769BD1C4">
      <w:pPr>
        <w:spacing w:line="440" w:lineRule="exact"/>
        <w:ind w:left="0" w:leftChars="0" w:firstLine="0" w:firstLineChars="0"/>
        <w:rPr>
          <w:rFonts w:hint="eastAsia" w:asciiTheme="minorHAnsi" w:hAnsiTheme="minorHAnsi" w:eastAsiaTheme="minorEastAsia" w:cstheme="minorBidi"/>
          <w:b/>
          <w:kern w:val="0"/>
          <w:sz w:val="28"/>
          <w:szCs w:val="20"/>
          <w:lang w:val="en-US" w:eastAsia="zh-Hans" w:bidi="ar-SA"/>
        </w:rPr>
      </w:pPr>
      <w:r>
        <w:rPr>
          <w:b/>
          <w:sz w:val="28"/>
        </w:rPr>
        <w:t>1.8.</w:t>
      </w:r>
      <w:r>
        <w:rPr>
          <w:rFonts w:hint="eastAsia" w:asciiTheme="minorHAnsi" w:hAnsiTheme="minorHAnsi" w:eastAsiaTheme="minorEastAsia" w:cstheme="minorBidi"/>
          <w:b/>
          <w:kern w:val="0"/>
          <w:sz w:val="28"/>
          <w:szCs w:val="20"/>
          <w:lang w:val="en-US" w:eastAsia="zh-Hans" w:bidi="ar-SA"/>
        </w:rPr>
        <w:t>递交</w:t>
      </w:r>
      <w:r>
        <w:rPr>
          <w:rFonts w:hint="eastAsia" w:asciiTheme="minorHAnsi" w:hAnsiTheme="minorHAnsi" w:eastAsiaTheme="minorEastAsia" w:cstheme="minorBidi"/>
          <w:b/>
          <w:kern w:val="0"/>
          <w:sz w:val="28"/>
          <w:szCs w:val="20"/>
          <w:lang w:val="en-US" w:eastAsia="zh-CN" w:bidi="ar-SA"/>
        </w:rPr>
        <w:t>投标文件</w:t>
      </w:r>
      <w:r>
        <w:rPr>
          <w:rFonts w:hint="eastAsia" w:asciiTheme="minorHAnsi" w:hAnsiTheme="minorHAnsi" w:eastAsiaTheme="minorEastAsia" w:cstheme="minorBidi"/>
          <w:b/>
          <w:kern w:val="0"/>
          <w:sz w:val="28"/>
          <w:szCs w:val="20"/>
          <w:lang w:val="en-US" w:eastAsia="zh-Hans" w:bidi="ar-SA"/>
        </w:rPr>
        <w:t>截止时间、开启时间</w:t>
      </w:r>
    </w:p>
    <w:p w14:paraId="21F6A557">
      <w:pPr>
        <w:pStyle w:val="12"/>
        <w:ind w:firstLine="480"/>
        <w:rPr>
          <w:rFonts w:hint="eastAsia"/>
          <w:lang w:eastAsia="zh-CN"/>
        </w:rPr>
      </w:pPr>
      <w:r>
        <w:rPr>
          <w:rFonts w:hint="eastAsia"/>
          <w:lang w:eastAsia="zh-CN"/>
        </w:rPr>
        <w:t>递交投标文件时间：202</w:t>
      </w:r>
      <w:r>
        <w:rPr>
          <w:rFonts w:hint="eastAsia"/>
          <w:lang w:val="en-US" w:eastAsia="zh-CN"/>
        </w:rPr>
        <w:t>5</w:t>
      </w:r>
      <w:r>
        <w:rPr>
          <w:rFonts w:hint="eastAsia"/>
          <w:lang w:eastAsia="zh-CN"/>
        </w:rPr>
        <w:t>年</w:t>
      </w:r>
      <w:r>
        <w:rPr>
          <w:rFonts w:hint="eastAsia"/>
          <w:u w:val="single"/>
          <w:lang w:val="en-US" w:eastAsia="zh-CN"/>
        </w:rPr>
        <w:t xml:space="preserve"> 2 </w:t>
      </w:r>
      <w:r>
        <w:rPr>
          <w:rFonts w:hint="eastAsia"/>
          <w:u w:val="single"/>
          <w:lang w:eastAsia="zh-CN"/>
        </w:rPr>
        <w:t>月</w:t>
      </w:r>
      <w:r>
        <w:rPr>
          <w:rFonts w:hint="eastAsia"/>
          <w:u w:val="single"/>
          <w:lang w:val="en-US" w:eastAsia="zh-CN"/>
        </w:rPr>
        <w:t xml:space="preserve"> 13 </w:t>
      </w:r>
      <w:r>
        <w:rPr>
          <w:rFonts w:hint="eastAsia"/>
          <w:u w:val="single"/>
          <w:lang w:eastAsia="zh-CN"/>
        </w:rPr>
        <w:t>日</w:t>
      </w:r>
      <w:r>
        <w:rPr>
          <w:rFonts w:hint="eastAsia"/>
          <w:lang w:val="en-US" w:eastAsia="zh-CN"/>
        </w:rPr>
        <w:t>14</w:t>
      </w:r>
      <w:r>
        <w:rPr>
          <w:rFonts w:hint="eastAsia"/>
          <w:lang w:eastAsia="zh-CN"/>
        </w:rPr>
        <w:t>：</w:t>
      </w:r>
      <w:r>
        <w:rPr>
          <w:rFonts w:hint="eastAsia"/>
          <w:lang w:val="en-US" w:eastAsia="zh-CN"/>
        </w:rPr>
        <w:t>30</w:t>
      </w:r>
      <w:r>
        <w:rPr>
          <w:rFonts w:hint="eastAsia"/>
          <w:lang w:eastAsia="zh-CN"/>
        </w:rPr>
        <w:t>-</w:t>
      </w:r>
      <w:r>
        <w:rPr>
          <w:rFonts w:hint="eastAsia"/>
          <w:lang w:val="en-US" w:eastAsia="zh-CN"/>
        </w:rPr>
        <w:t>15</w:t>
      </w:r>
      <w:r>
        <w:rPr>
          <w:rFonts w:hint="eastAsia"/>
          <w:lang w:eastAsia="zh-CN"/>
        </w:rPr>
        <w:t>：</w:t>
      </w:r>
      <w:r>
        <w:rPr>
          <w:rFonts w:hint="eastAsia"/>
          <w:lang w:val="en-US" w:eastAsia="zh-CN"/>
        </w:rPr>
        <w:t>0</w:t>
      </w:r>
      <w:r>
        <w:rPr>
          <w:rFonts w:hint="eastAsia"/>
          <w:lang w:eastAsia="zh-CN"/>
        </w:rPr>
        <w:t>0</w:t>
      </w:r>
    </w:p>
    <w:p w14:paraId="082A45F6">
      <w:pPr>
        <w:pStyle w:val="12"/>
        <w:ind w:firstLine="480"/>
        <w:rPr>
          <w:rFonts w:hint="eastAsia"/>
          <w:lang w:eastAsia="zh-CN"/>
        </w:rPr>
      </w:pPr>
      <w:r>
        <w:rPr>
          <w:rFonts w:hint="eastAsia"/>
          <w:lang w:eastAsia="zh-CN"/>
        </w:rPr>
        <w:t>递交投标文件截止时间：202</w:t>
      </w:r>
      <w:r>
        <w:rPr>
          <w:rFonts w:hint="eastAsia"/>
          <w:lang w:val="en-US" w:eastAsia="zh-CN"/>
        </w:rPr>
        <w:t>5</w:t>
      </w:r>
      <w:r>
        <w:rPr>
          <w:rFonts w:hint="eastAsia"/>
          <w:lang w:eastAsia="zh-CN"/>
        </w:rPr>
        <w:t>年</w:t>
      </w:r>
      <w:r>
        <w:rPr>
          <w:rFonts w:hint="eastAsia"/>
          <w:u w:val="single"/>
          <w:lang w:val="en-US" w:eastAsia="zh-CN"/>
        </w:rPr>
        <w:t xml:space="preserve"> 2 </w:t>
      </w:r>
      <w:r>
        <w:rPr>
          <w:rFonts w:hint="eastAsia"/>
          <w:u w:val="single"/>
          <w:lang w:eastAsia="zh-CN"/>
        </w:rPr>
        <w:t>月</w:t>
      </w:r>
      <w:r>
        <w:rPr>
          <w:rFonts w:hint="eastAsia"/>
          <w:u w:val="single"/>
          <w:lang w:val="en-US" w:eastAsia="zh-CN"/>
        </w:rPr>
        <w:t xml:space="preserve"> 13 </w:t>
      </w:r>
      <w:r>
        <w:rPr>
          <w:rFonts w:hint="eastAsia"/>
          <w:u w:val="single"/>
          <w:lang w:eastAsia="zh-CN"/>
        </w:rPr>
        <w:t>日</w:t>
      </w:r>
      <w:r>
        <w:rPr>
          <w:rFonts w:hint="eastAsia"/>
          <w:lang w:val="en-US" w:eastAsia="zh-CN"/>
        </w:rPr>
        <w:t>15</w:t>
      </w:r>
      <w:r>
        <w:rPr>
          <w:rFonts w:hint="eastAsia"/>
          <w:lang w:eastAsia="zh-CN"/>
        </w:rPr>
        <w:t>:</w:t>
      </w:r>
      <w:r>
        <w:rPr>
          <w:rFonts w:hint="eastAsia"/>
          <w:lang w:val="en-US" w:eastAsia="zh-CN"/>
        </w:rPr>
        <w:t>0</w:t>
      </w:r>
      <w:r>
        <w:rPr>
          <w:rFonts w:hint="eastAsia"/>
          <w:lang w:eastAsia="zh-CN"/>
        </w:rPr>
        <w:t>0</w:t>
      </w:r>
    </w:p>
    <w:p w14:paraId="312CF46E">
      <w:pPr>
        <w:pStyle w:val="12"/>
        <w:ind w:firstLine="480"/>
        <w:rPr>
          <w:rFonts w:hint="eastAsia"/>
          <w:lang w:eastAsia="zh-CN"/>
        </w:rPr>
      </w:pPr>
      <w:r>
        <w:rPr>
          <w:rFonts w:hint="eastAsia"/>
          <w:lang w:eastAsia="zh-CN"/>
        </w:rPr>
        <w:t>投标文件开启时间：202</w:t>
      </w:r>
      <w:r>
        <w:rPr>
          <w:rFonts w:hint="eastAsia"/>
          <w:lang w:val="en-US" w:eastAsia="zh-CN"/>
        </w:rPr>
        <w:t>5</w:t>
      </w:r>
      <w:r>
        <w:rPr>
          <w:rFonts w:hint="eastAsia"/>
          <w:lang w:eastAsia="zh-CN"/>
        </w:rPr>
        <w:t>年</w:t>
      </w:r>
      <w:r>
        <w:rPr>
          <w:rFonts w:hint="eastAsia"/>
          <w:lang w:val="en-US" w:eastAsia="zh-CN"/>
        </w:rPr>
        <w:t xml:space="preserve"> </w:t>
      </w:r>
      <w:r>
        <w:rPr>
          <w:rFonts w:hint="eastAsia"/>
          <w:u w:val="single"/>
          <w:lang w:val="en-US" w:eastAsia="zh-CN"/>
        </w:rPr>
        <w:t xml:space="preserve"> 2 </w:t>
      </w:r>
      <w:r>
        <w:rPr>
          <w:rFonts w:hint="eastAsia"/>
          <w:u w:val="single"/>
          <w:lang w:eastAsia="zh-CN"/>
        </w:rPr>
        <w:t>月</w:t>
      </w:r>
      <w:r>
        <w:rPr>
          <w:rFonts w:hint="eastAsia"/>
          <w:u w:val="single"/>
          <w:lang w:val="en-US" w:eastAsia="zh-CN"/>
        </w:rPr>
        <w:t xml:space="preserve"> 13 </w:t>
      </w:r>
      <w:r>
        <w:rPr>
          <w:rFonts w:hint="eastAsia"/>
          <w:u w:val="single"/>
          <w:lang w:eastAsia="zh-CN"/>
        </w:rPr>
        <w:t>日</w:t>
      </w:r>
      <w:r>
        <w:rPr>
          <w:rFonts w:hint="eastAsia"/>
          <w:lang w:val="en-US" w:eastAsia="zh-CN"/>
        </w:rPr>
        <w:t>15</w:t>
      </w:r>
      <w:r>
        <w:rPr>
          <w:rFonts w:hint="eastAsia"/>
          <w:lang w:eastAsia="zh-CN"/>
        </w:rPr>
        <w:t>:</w:t>
      </w:r>
      <w:r>
        <w:rPr>
          <w:rFonts w:hint="eastAsia"/>
          <w:lang w:val="en-US" w:eastAsia="zh-CN"/>
        </w:rPr>
        <w:t>0</w:t>
      </w:r>
      <w:r>
        <w:rPr>
          <w:rFonts w:hint="eastAsia"/>
          <w:lang w:eastAsia="zh-CN"/>
        </w:rPr>
        <w:t>0</w:t>
      </w:r>
    </w:p>
    <w:p w14:paraId="05A9698A">
      <w:pPr>
        <w:spacing w:line="440" w:lineRule="exact"/>
        <w:ind w:left="0" w:leftChars="0" w:firstLine="0" w:firstLineChars="0"/>
        <w:rPr>
          <w:rFonts w:hint="eastAsia" w:asciiTheme="minorHAnsi" w:hAnsiTheme="minorHAnsi" w:eastAsiaTheme="minorEastAsia" w:cstheme="minorBidi"/>
          <w:b/>
          <w:kern w:val="0"/>
          <w:sz w:val="28"/>
          <w:szCs w:val="20"/>
          <w:lang w:val="en-US" w:eastAsia="zh-CN" w:bidi="ar-SA"/>
        </w:rPr>
      </w:pPr>
      <w:r>
        <w:rPr>
          <w:rFonts w:hint="eastAsia" w:asciiTheme="minorHAnsi" w:hAnsiTheme="minorHAnsi" w:eastAsiaTheme="minorEastAsia" w:cstheme="minorBidi"/>
          <w:b/>
          <w:kern w:val="0"/>
          <w:sz w:val="28"/>
          <w:szCs w:val="20"/>
          <w:lang w:val="en-US" w:eastAsia="zh-CN" w:bidi="ar-SA"/>
        </w:rPr>
        <w:t>1.9.递交投标文件方式</w:t>
      </w:r>
    </w:p>
    <w:p w14:paraId="28FA96DF">
      <w:pPr>
        <w:pStyle w:val="12"/>
        <w:ind w:firstLine="480"/>
        <w:rPr>
          <w:rFonts w:hint="default"/>
          <w:lang w:val="en-US" w:eastAsia="zh-CN"/>
        </w:rPr>
      </w:pPr>
      <w:r>
        <w:rPr>
          <w:rFonts w:hint="eastAsia"/>
          <w:lang w:eastAsia="zh-CN"/>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收投标文件</w:t>
      </w:r>
      <w:r>
        <w:rPr>
          <w:rFonts w:hint="eastAsia"/>
          <w:lang w:val="en-US" w:eastAsia="zh-CN"/>
        </w:rPr>
        <w:t>。</w:t>
      </w:r>
    </w:p>
    <w:p w14:paraId="22BC5114">
      <w:pPr>
        <w:numPr>
          <w:ilvl w:val="0"/>
          <w:numId w:val="0"/>
        </w:numPr>
        <w:spacing w:line="440" w:lineRule="exact"/>
        <w:ind w:left="0" w:leftChars="0" w:firstLine="0" w:firstLineChars="0"/>
        <w:rPr>
          <w:rFonts w:hint="eastAsia" w:asciiTheme="minorHAnsi" w:hAnsiTheme="minorHAnsi" w:eastAsiaTheme="minorEastAsia" w:cstheme="minorBidi"/>
          <w:b/>
          <w:kern w:val="0"/>
          <w:sz w:val="28"/>
          <w:szCs w:val="20"/>
          <w:lang w:val="en-US" w:eastAsia="zh-CN" w:bidi="ar-SA"/>
        </w:rPr>
      </w:pPr>
      <w:r>
        <w:rPr>
          <w:rFonts w:hint="eastAsia" w:asciiTheme="minorHAnsi" w:hAnsiTheme="minorHAnsi" w:eastAsiaTheme="minorEastAsia" w:cstheme="minorBidi"/>
          <w:b/>
          <w:kern w:val="0"/>
          <w:sz w:val="28"/>
          <w:szCs w:val="20"/>
          <w:lang w:val="en-US" w:eastAsia="zh-CN" w:bidi="ar-SA"/>
        </w:rPr>
        <w:t>1.</w:t>
      </w:r>
      <w:r>
        <w:rPr>
          <w:rFonts w:hint="eastAsia" w:cstheme="minorBidi"/>
          <w:b/>
          <w:kern w:val="0"/>
          <w:sz w:val="28"/>
          <w:szCs w:val="20"/>
          <w:lang w:val="en-US" w:eastAsia="zh-CN" w:bidi="ar-SA"/>
        </w:rPr>
        <w:t>10</w:t>
      </w:r>
      <w:r>
        <w:rPr>
          <w:rFonts w:hint="eastAsia" w:asciiTheme="minorHAnsi" w:hAnsiTheme="minorHAnsi" w:eastAsiaTheme="minorEastAsia" w:cstheme="minorBidi"/>
          <w:b/>
          <w:kern w:val="0"/>
          <w:sz w:val="28"/>
          <w:szCs w:val="20"/>
          <w:lang w:val="en-US" w:eastAsia="zh-CN" w:bidi="ar-SA"/>
        </w:rPr>
        <w:t>.开标地点</w:t>
      </w:r>
    </w:p>
    <w:p w14:paraId="7557F379">
      <w:pPr>
        <w:numPr>
          <w:ilvl w:val="0"/>
          <w:numId w:val="0"/>
        </w:numPr>
        <w:spacing w:line="440" w:lineRule="exact"/>
        <w:ind w:firstLine="400" w:firstLineChars="200"/>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bidi="ar-SA"/>
        </w:rPr>
        <w:t>邻水县人民医院采购办</w:t>
      </w:r>
    </w:p>
    <w:p w14:paraId="3C79703D">
      <w:pPr>
        <w:numPr>
          <w:ilvl w:val="0"/>
          <w:numId w:val="0"/>
        </w:numPr>
        <w:spacing w:line="440" w:lineRule="exact"/>
        <w:ind w:left="0" w:leftChars="0" w:firstLine="0" w:firstLineChars="0"/>
        <w:rPr>
          <w:rFonts w:hint="eastAsia" w:asciiTheme="minorHAnsi" w:hAnsiTheme="minorHAnsi" w:eastAsiaTheme="minorEastAsia" w:cstheme="minorBidi"/>
          <w:b/>
          <w:kern w:val="0"/>
          <w:sz w:val="28"/>
          <w:szCs w:val="20"/>
          <w:lang w:val="en-US" w:eastAsia="zh-CN" w:bidi="ar-SA"/>
        </w:rPr>
      </w:pPr>
      <w:r>
        <w:rPr>
          <w:rFonts w:hint="eastAsia" w:asciiTheme="minorHAnsi" w:hAnsiTheme="minorHAnsi" w:eastAsiaTheme="minorEastAsia" w:cstheme="minorBidi"/>
          <w:b/>
          <w:kern w:val="0"/>
          <w:sz w:val="28"/>
          <w:szCs w:val="20"/>
          <w:lang w:val="en-US" w:eastAsia="zh-CN" w:bidi="ar-SA"/>
        </w:rPr>
        <w:t>1.11.联系方式</w:t>
      </w:r>
    </w:p>
    <w:p w14:paraId="769C00FF">
      <w:pPr>
        <w:spacing w:line="440" w:lineRule="exact"/>
        <w:ind w:firstLine="420" w:firstLineChars="200"/>
        <w:rPr>
          <w:rFonts w:hint="eastAsia" w:eastAsia="宋体"/>
          <w:b w:val="0"/>
          <w:bCs/>
          <w:sz w:val="21"/>
          <w:szCs w:val="21"/>
          <w:lang w:eastAsia="zh-CN"/>
        </w:rPr>
      </w:pPr>
      <w:r>
        <w:rPr>
          <w:rFonts w:hint="eastAsia"/>
          <w:b w:val="0"/>
          <w:bCs/>
          <w:sz w:val="21"/>
          <w:szCs w:val="21"/>
        </w:rPr>
        <w:t>采购人：</w:t>
      </w:r>
      <w:r>
        <w:rPr>
          <w:rFonts w:hint="eastAsia"/>
          <w:b w:val="0"/>
          <w:bCs/>
          <w:sz w:val="21"/>
          <w:szCs w:val="21"/>
          <w:lang w:eastAsia="zh-CN"/>
        </w:rPr>
        <w:t>邻水县人民医院</w:t>
      </w:r>
    </w:p>
    <w:p w14:paraId="34E17DD8">
      <w:pPr>
        <w:pStyle w:val="14"/>
        <w:spacing w:line="440" w:lineRule="exact"/>
        <w:ind w:firstLine="1050" w:firstLineChars="500"/>
        <w:rPr>
          <w:rFonts w:hint="default" w:eastAsia="宋体"/>
          <w:sz w:val="21"/>
          <w:szCs w:val="21"/>
          <w:lang w:val="en-US" w:eastAsia="zh-CN"/>
        </w:rPr>
      </w:pPr>
      <w:r>
        <w:rPr>
          <w:rFonts w:hint="eastAsia" w:ascii="宋体" w:hAnsi="宋体"/>
          <w:bCs/>
          <w:sz w:val="21"/>
          <w:szCs w:val="21"/>
        </w:rPr>
        <w:t>通讯地址：</w:t>
      </w:r>
      <w:r>
        <w:rPr>
          <w:rFonts w:hint="eastAsia"/>
          <w:sz w:val="21"/>
          <w:szCs w:val="21"/>
        </w:rPr>
        <w:t>邻水县鼎屏镇</w:t>
      </w:r>
      <w:r>
        <w:rPr>
          <w:rFonts w:hint="eastAsia"/>
          <w:sz w:val="21"/>
          <w:szCs w:val="21"/>
          <w:lang w:eastAsia="zh-CN"/>
        </w:rPr>
        <w:t>人民路北段</w:t>
      </w:r>
      <w:r>
        <w:rPr>
          <w:rFonts w:hint="eastAsia"/>
          <w:sz w:val="21"/>
          <w:szCs w:val="21"/>
          <w:lang w:val="en-US" w:eastAsia="zh-CN"/>
        </w:rPr>
        <w:t>487号</w:t>
      </w:r>
    </w:p>
    <w:p w14:paraId="7BF1ED39">
      <w:pPr>
        <w:pStyle w:val="14"/>
        <w:spacing w:line="440" w:lineRule="exact"/>
        <w:ind w:firstLine="1050" w:firstLineChars="500"/>
        <w:rPr>
          <w:rFonts w:hint="default" w:eastAsia="宋体"/>
          <w:sz w:val="21"/>
          <w:szCs w:val="21"/>
          <w:lang w:val="en-US" w:eastAsia="zh-CN"/>
        </w:rPr>
      </w:pPr>
      <w:r>
        <w:rPr>
          <w:rFonts w:hint="eastAsia"/>
          <w:sz w:val="21"/>
          <w:szCs w:val="21"/>
        </w:rPr>
        <w:t>联 系 人：</w:t>
      </w:r>
      <w:r>
        <w:rPr>
          <w:rFonts w:hint="eastAsia"/>
          <w:sz w:val="21"/>
          <w:szCs w:val="21"/>
          <w:lang w:eastAsia="zh-CN"/>
        </w:rPr>
        <w:t>鲁</w:t>
      </w:r>
      <w:r>
        <w:rPr>
          <w:rFonts w:hint="eastAsia"/>
          <w:sz w:val="21"/>
          <w:szCs w:val="21"/>
        </w:rPr>
        <w:t>老师</w:t>
      </w:r>
      <w:r>
        <w:rPr>
          <w:rFonts w:hint="eastAsia"/>
          <w:sz w:val="21"/>
          <w:szCs w:val="21"/>
          <w:lang w:val="en-US" w:eastAsia="zh-CN"/>
        </w:rPr>
        <w:t xml:space="preserve">             邓老师</w:t>
      </w:r>
      <w:r>
        <w:rPr>
          <w:rFonts w:hint="eastAsia"/>
          <w:sz w:val="21"/>
          <w:szCs w:val="21"/>
          <w:lang w:val="en-US" w:eastAsia="zh-CN"/>
        </w:rPr>
        <w:tab/>
      </w:r>
    </w:p>
    <w:p w14:paraId="2A89CE7F">
      <w:pPr>
        <w:pStyle w:val="12"/>
        <w:ind w:firstLine="1050" w:firstLineChars="500"/>
        <w:rPr>
          <w:rFonts w:hint="default"/>
          <w:sz w:val="18"/>
          <w:szCs w:val="18"/>
          <w:lang w:val="en-US"/>
        </w:rPr>
      </w:pPr>
      <w:r>
        <w:rPr>
          <w:rFonts w:hint="eastAsia"/>
          <w:sz w:val="21"/>
          <w:szCs w:val="16"/>
        </w:rPr>
        <w:t>联系电话：</w:t>
      </w:r>
      <w:r>
        <w:rPr>
          <w:rFonts w:hint="eastAsia"/>
          <w:sz w:val="18"/>
          <w:szCs w:val="18"/>
          <w:lang w:val="en-US" w:eastAsia="zh-CN"/>
        </w:rPr>
        <w:t>18384510773</w:t>
      </w:r>
      <w:r>
        <w:rPr>
          <w:rFonts w:hint="eastAsia"/>
          <w:sz w:val="21"/>
          <w:szCs w:val="16"/>
          <w:lang w:val="en-US" w:eastAsia="zh-CN"/>
        </w:rPr>
        <w:t xml:space="preserve">         13608278826</w:t>
      </w:r>
    </w:p>
    <w:p w14:paraId="7AA85173">
      <w:pPr>
        <w:pStyle w:val="12"/>
        <w:rPr>
          <w:rFonts w:hint="default"/>
        </w:rPr>
      </w:pPr>
      <w:r>
        <w:t xml:space="preserve"> </w:t>
      </w:r>
      <w:r>
        <w:br w:type="textWrapping"/>
      </w:r>
      <w:r>
        <w:br w:type="page"/>
      </w:r>
    </w:p>
    <w:p w14:paraId="2015B030">
      <w:pPr>
        <w:pStyle w:val="12"/>
        <w:jc w:val="center"/>
        <w:outlineLvl w:val="1"/>
        <w:rPr>
          <w:rFonts w:hint="default"/>
        </w:rPr>
      </w:pPr>
      <w:r>
        <w:rPr>
          <w:b/>
          <w:sz w:val="36"/>
        </w:rPr>
        <w:t>第二章 投标人须知</w:t>
      </w:r>
    </w:p>
    <w:p w14:paraId="4117D9B3">
      <w:pPr>
        <w:pStyle w:val="12"/>
        <w:outlineLvl w:val="2"/>
        <w:rPr>
          <w:rFonts w:hint="default"/>
        </w:rPr>
      </w:pPr>
      <w:r>
        <w:rPr>
          <w:b/>
          <w:sz w:val="28"/>
        </w:rPr>
        <w:t>2.1.投标人须知附表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14:paraId="4B7D8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9" w:hRule="atLeast"/>
        </w:trPr>
        <w:tc>
          <w:tcPr>
            <w:tcW w:w="1051" w:type="dxa"/>
            <w:vAlign w:val="center"/>
          </w:tcPr>
          <w:p w14:paraId="31F50B08">
            <w:pPr>
              <w:pStyle w:val="12"/>
              <w:rPr>
                <w:rFonts w:hint="default"/>
              </w:rPr>
            </w:pPr>
            <w:r>
              <w:t>序号</w:t>
            </w:r>
          </w:p>
        </w:tc>
        <w:tc>
          <w:tcPr>
            <w:tcW w:w="2252" w:type="dxa"/>
            <w:vAlign w:val="center"/>
          </w:tcPr>
          <w:p w14:paraId="5EF27B44">
            <w:pPr>
              <w:pStyle w:val="12"/>
              <w:rPr>
                <w:rFonts w:hint="default"/>
              </w:rPr>
            </w:pPr>
            <w:r>
              <w:t>应知事项</w:t>
            </w:r>
          </w:p>
        </w:tc>
        <w:tc>
          <w:tcPr>
            <w:tcW w:w="5004" w:type="dxa"/>
            <w:vAlign w:val="center"/>
          </w:tcPr>
          <w:p w14:paraId="5FCFEE9C">
            <w:pPr>
              <w:pStyle w:val="12"/>
              <w:rPr>
                <w:rFonts w:hint="default"/>
              </w:rPr>
            </w:pPr>
            <w:r>
              <w:t>说明和要求</w:t>
            </w:r>
          </w:p>
        </w:tc>
      </w:tr>
      <w:tr w14:paraId="1078B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64" w:hRule="atLeast"/>
        </w:trPr>
        <w:tc>
          <w:tcPr>
            <w:tcW w:w="1051" w:type="dxa"/>
            <w:vAlign w:val="center"/>
          </w:tcPr>
          <w:p w14:paraId="68029AEA">
            <w:pPr>
              <w:pStyle w:val="12"/>
              <w:rPr>
                <w:rFonts w:hint="default"/>
              </w:rPr>
            </w:pPr>
            <w:r>
              <w:t>1</w:t>
            </w:r>
          </w:p>
        </w:tc>
        <w:tc>
          <w:tcPr>
            <w:tcW w:w="2252" w:type="dxa"/>
            <w:vAlign w:val="center"/>
          </w:tcPr>
          <w:p w14:paraId="3A64C3D1">
            <w:pPr>
              <w:pStyle w:val="12"/>
              <w:rPr>
                <w:rFonts w:hint="default"/>
              </w:rPr>
            </w:pPr>
            <w:r>
              <w:t>最</w:t>
            </w:r>
            <w:r>
              <w:rPr>
                <w:lang w:eastAsia="zh-CN"/>
              </w:rPr>
              <w:t>低</w:t>
            </w:r>
            <w:r>
              <w:t>限价★</w:t>
            </w:r>
          </w:p>
        </w:tc>
        <w:tc>
          <w:tcPr>
            <w:tcW w:w="5004" w:type="dxa"/>
            <w:vAlign w:val="center"/>
          </w:tcPr>
          <w:p w14:paraId="0D3D437C">
            <w:pPr>
              <w:pStyle w:val="12"/>
              <w:rPr>
                <w:rFonts w:hint="default"/>
              </w:rPr>
            </w:pPr>
            <w:r>
              <w:t>本项目</w:t>
            </w:r>
            <w:r>
              <w:rPr>
                <w:lang w:eastAsia="zh-CN"/>
              </w:rPr>
              <w:t>最低限价</w:t>
            </w:r>
            <w:r>
              <w:t>：</w:t>
            </w:r>
          </w:p>
          <w:p w14:paraId="19CEA5EB">
            <w:pPr>
              <w:pStyle w:val="12"/>
              <w:rPr>
                <w:rFonts w:hint="default"/>
              </w:rPr>
            </w:pPr>
            <w:r>
              <w:rPr>
                <w:lang w:eastAsia="zh-CN"/>
              </w:rPr>
              <w:t>240000.00元（</w:t>
            </w:r>
            <w:r>
              <w:rPr>
                <w:rFonts w:hint="default"/>
                <w:lang w:eastAsia="zh-CN"/>
              </w:rPr>
              <w:t>食堂外包</w:t>
            </w:r>
            <w:r>
              <w:rPr>
                <w:lang w:eastAsia="zh-CN"/>
              </w:rPr>
              <w:t>服务</w:t>
            </w:r>
            <w:r>
              <w:rPr>
                <w:rFonts w:hint="default"/>
                <w:lang w:eastAsia="zh-CN"/>
              </w:rPr>
              <w:t>管理费</w:t>
            </w:r>
            <w:r>
              <w:rPr>
                <w:lang w:eastAsia="zh-CN"/>
              </w:rPr>
              <w:t>120000.00元/年</w:t>
            </w:r>
            <w:r>
              <w:rPr>
                <w:rFonts w:hint="default"/>
                <w:lang w:eastAsia="zh-CN"/>
              </w:rPr>
              <w:t>）</w:t>
            </w:r>
          </w:p>
          <w:p w14:paraId="44E0BD9F">
            <w:pPr>
              <w:pStyle w:val="12"/>
              <w:rPr>
                <w:rFonts w:hint="default"/>
              </w:rPr>
            </w:pPr>
            <w:r>
              <w:t>投标人报价不得</w:t>
            </w:r>
            <w:r>
              <w:rPr>
                <w:lang w:eastAsia="zh-CN"/>
              </w:rPr>
              <w:t>低于</w:t>
            </w:r>
            <w:r>
              <w:t>最</w:t>
            </w:r>
            <w:r>
              <w:rPr>
                <w:lang w:eastAsia="zh-CN"/>
              </w:rPr>
              <w:t>低</w:t>
            </w:r>
            <w:r>
              <w:t>限价</w:t>
            </w:r>
          </w:p>
        </w:tc>
      </w:tr>
      <w:tr w14:paraId="31026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0" w:hRule="atLeast"/>
        </w:trPr>
        <w:tc>
          <w:tcPr>
            <w:tcW w:w="1051" w:type="dxa"/>
            <w:vAlign w:val="center"/>
          </w:tcPr>
          <w:p w14:paraId="08698257">
            <w:pPr>
              <w:pStyle w:val="12"/>
              <w:rPr>
                <w:rFonts w:hint="eastAsia" w:eastAsiaTheme="minorEastAsia"/>
                <w:lang w:val="en-US" w:eastAsia="zh-CN"/>
              </w:rPr>
            </w:pPr>
            <w:r>
              <w:rPr>
                <w:rFonts w:hint="eastAsia"/>
                <w:lang w:val="en-US" w:eastAsia="zh-CN"/>
              </w:rPr>
              <w:t>2</w:t>
            </w:r>
          </w:p>
        </w:tc>
        <w:tc>
          <w:tcPr>
            <w:tcW w:w="2252" w:type="dxa"/>
            <w:vAlign w:val="center"/>
          </w:tcPr>
          <w:p w14:paraId="7513682B">
            <w:pPr>
              <w:pStyle w:val="12"/>
              <w:rPr>
                <w:rFonts w:hint="eastAsia" w:eastAsiaTheme="minorEastAsia"/>
                <w:lang w:eastAsia="zh-CN"/>
              </w:rPr>
            </w:pPr>
            <w:r>
              <w:rPr>
                <w:rFonts w:hint="eastAsia"/>
                <w:lang w:eastAsia="zh-CN"/>
              </w:rPr>
              <w:t>服务期限</w:t>
            </w:r>
            <w:r>
              <w:t>★</w:t>
            </w:r>
          </w:p>
        </w:tc>
        <w:tc>
          <w:tcPr>
            <w:tcW w:w="5004" w:type="dxa"/>
            <w:vAlign w:val="center"/>
          </w:tcPr>
          <w:p w14:paraId="52A98354">
            <w:pPr>
              <w:pStyle w:val="12"/>
              <w:rPr>
                <w:rFonts w:hint="eastAsia" w:eastAsiaTheme="minorEastAsia"/>
                <w:lang w:val="en-US" w:eastAsia="zh-CN"/>
              </w:rPr>
            </w:pPr>
            <w:r>
              <w:rPr>
                <w:rFonts w:hint="eastAsia"/>
                <w:lang w:val="en-US" w:eastAsia="zh-CN"/>
              </w:rPr>
              <w:t>2年</w:t>
            </w:r>
          </w:p>
        </w:tc>
      </w:tr>
      <w:tr w14:paraId="3AC2B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0" w:hRule="atLeast"/>
        </w:trPr>
        <w:tc>
          <w:tcPr>
            <w:tcW w:w="1051" w:type="dxa"/>
            <w:vAlign w:val="center"/>
          </w:tcPr>
          <w:p w14:paraId="0DC47D84">
            <w:pPr>
              <w:pStyle w:val="12"/>
              <w:rPr>
                <w:rFonts w:hint="eastAsia" w:eastAsiaTheme="minorEastAsia"/>
                <w:lang w:eastAsia="zh-CN"/>
              </w:rPr>
            </w:pPr>
            <w:r>
              <w:rPr>
                <w:rFonts w:hint="eastAsia"/>
                <w:lang w:val="en-US" w:eastAsia="zh-CN"/>
              </w:rPr>
              <w:t>3</w:t>
            </w:r>
          </w:p>
        </w:tc>
        <w:tc>
          <w:tcPr>
            <w:tcW w:w="2252" w:type="dxa"/>
            <w:vAlign w:val="center"/>
          </w:tcPr>
          <w:p w14:paraId="2231EB6F">
            <w:pPr>
              <w:pStyle w:val="12"/>
              <w:rPr>
                <w:rFonts w:hint="default"/>
              </w:rPr>
            </w:pPr>
            <w:r>
              <w:t>评标方法</w:t>
            </w:r>
          </w:p>
        </w:tc>
        <w:tc>
          <w:tcPr>
            <w:tcW w:w="5004" w:type="dxa"/>
            <w:vAlign w:val="center"/>
          </w:tcPr>
          <w:p w14:paraId="4F2E0BC1">
            <w:pPr>
              <w:pStyle w:val="12"/>
              <w:rPr>
                <w:rFonts w:hint="default"/>
              </w:rPr>
            </w:pPr>
            <w:r>
              <w:t>综合评分法 （具体规则详见第五章）</w:t>
            </w:r>
          </w:p>
        </w:tc>
      </w:tr>
      <w:tr w14:paraId="1D343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051" w:type="dxa"/>
            <w:vAlign w:val="center"/>
          </w:tcPr>
          <w:p w14:paraId="237EEC2E">
            <w:pPr>
              <w:pStyle w:val="12"/>
              <w:rPr>
                <w:rFonts w:hint="eastAsia" w:eastAsiaTheme="minorEastAsia"/>
                <w:lang w:eastAsia="zh-CN"/>
              </w:rPr>
            </w:pPr>
            <w:r>
              <w:rPr>
                <w:rFonts w:hint="eastAsia"/>
                <w:lang w:val="en-US" w:eastAsia="zh-CN"/>
              </w:rPr>
              <w:t>4</w:t>
            </w:r>
          </w:p>
        </w:tc>
        <w:tc>
          <w:tcPr>
            <w:tcW w:w="2252" w:type="dxa"/>
            <w:vAlign w:val="center"/>
          </w:tcPr>
          <w:p w14:paraId="6CF98FA6">
            <w:pPr>
              <w:pStyle w:val="12"/>
              <w:rPr>
                <w:rFonts w:hint="default"/>
              </w:rPr>
            </w:pPr>
            <w:r>
              <w:t>是否接受联合体★</w:t>
            </w:r>
          </w:p>
        </w:tc>
        <w:tc>
          <w:tcPr>
            <w:tcW w:w="5004" w:type="dxa"/>
            <w:vAlign w:val="center"/>
          </w:tcPr>
          <w:p w14:paraId="5FA91ECE">
            <w:pPr>
              <w:pStyle w:val="12"/>
              <w:rPr>
                <w:rFonts w:hint="default"/>
              </w:rPr>
            </w:pPr>
            <w:r>
              <w:t>不接受联合体</w:t>
            </w:r>
          </w:p>
        </w:tc>
      </w:tr>
      <w:tr w14:paraId="28612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1051" w:type="dxa"/>
            <w:vAlign w:val="center"/>
          </w:tcPr>
          <w:p w14:paraId="36B6AAAA">
            <w:pPr>
              <w:pStyle w:val="12"/>
              <w:rPr>
                <w:rFonts w:hint="eastAsia" w:eastAsiaTheme="minorEastAsia"/>
                <w:lang w:eastAsia="zh-CN"/>
              </w:rPr>
            </w:pPr>
            <w:r>
              <w:rPr>
                <w:rFonts w:hint="eastAsia"/>
                <w:lang w:val="en-US" w:eastAsia="zh-CN"/>
              </w:rPr>
              <w:t>5</w:t>
            </w:r>
          </w:p>
        </w:tc>
        <w:tc>
          <w:tcPr>
            <w:tcW w:w="2252" w:type="dxa"/>
            <w:vAlign w:val="center"/>
          </w:tcPr>
          <w:p w14:paraId="4B71E1B7">
            <w:pPr>
              <w:pStyle w:val="12"/>
              <w:rPr>
                <w:rFonts w:hint="default"/>
              </w:rPr>
            </w:pPr>
            <w:r>
              <w:t>投标（响应）保证金★</w:t>
            </w:r>
          </w:p>
        </w:tc>
        <w:tc>
          <w:tcPr>
            <w:tcW w:w="5004" w:type="dxa"/>
            <w:vAlign w:val="center"/>
          </w:tcPr>
          <w:p w14:paraId="2B323260">
            <w:pPr>
              <w:pStyle w:val="12"/>
              <w:rPr>
                <w:rFonts w:hint="default"/>
              </w:rPr>
            </w:pPr>
            <w:r>
              <w:t>本项目不收取投标（响应）保证金。</w:t>
            </w:r>
          </w:p>
        </w:tc>
      </w:tr>
      <w:tr w14:paraId="1CEDA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5F0C10A5">
            <w:pPr>
              <w:pStyle w:val="12"/>
              <w:rPr>
                <w:rFonts w:hint="eastAsia" w:eastAsiaTheme="minorEastAsia"/>
                <w:lang w:eastAsia="zh-CN"/>
              </w:rPr>
            </w:pPr>
            <w:r>
              <w:rPr>
                <w:rFonts w:hint="eastAsia"/>
                <w:lang w:val="en-US" w:eastAsia="zh-CN"/>
              </w:rPr>
              <w:t>6</w:t>
            </w:r>
          </w:p>
        </w:tc>
        <w:tc>
          <w:tcPr>
            <w:tcW w:w="2252" w:type="dxa"/>
            <w:vAlign w:val="center"/>
          </w:tcPr>
          <w:p w14:paraId="773BEA59">
            <w:pPr>
              <w:pStyle w:val="12"/>
              <w:rPr>
                <w:rFonts w:hint="default"/>
              </w:rPr>
            </w:pPr>
            <w:r>
              <w:rPr>
                <w:lang w:eastAsia="zh-CN"/>
              </w:rPr>
              <w:t>外包</w:t>
            </w:r>
            <w:r>
              <w:rPr>
                <w:rFonts w:hint="eastAsia"/>
                <w:lang w:eastAsia="zh-CN"/>
              </w:rPr>
              <w:t>服务</w:t>
            </w:r>
            <w:r>
              <w:rPr>
                <w:rFonts w:hint="default"/>
                <w:lang w:eastAsia="zh-CN"/>
              </w:rPr>
              <w:t>风险抵押金</w:t>
            </w:r>
            <w:r>
              <w:t>★</w:t>
            </w:r>
          </w:p>
        </w:tc>
        <w:tc>
          <w:tcPr>
            <w:tcW w:w="5004" w:type="dxa"/>
            <w:vAlign w:val="center"/>
          </w:tcPr>
          <w:p w14:paraId="5A0755B0">
            <w:pPr>
              <w:pStyle w:val="12"/>
              <w:rPr>
                <w:rFonts w:hint="default"/>
              </w:rPr>
            </w:pPr>
            <w:r>
              <w:rPr>
                <w:lang w:eastAsia="zh-CN"/>
              </w:rPr>
              <w:t>外包</w:t>
            </w:r>
            <w:r>
              <w:rPr>
                <w:rFonts w:hint="eastAsia"/>
                <w:lang w:eastAsia="zh-CN"/>
              </w:rPr>
              <w:t>服务</w:t>
            </w:r>
            <w:r>
              <w:rPr>
                <w:rFonts w:hint="default"/>
                <w:lang w:eastAsia="zh-CN"/>
              </w:rPr>
              <w:t>风险抵押金5</w:t>
            </w:r>
            <w:r>
              <w:rPr>
                <w:lang w:eastAsia="zh-CN"/>
              </w:rPr>
              <w:t>0000.00</w:t>
            </w:r>
            <w:r>
              <w:rPr>
                <w:rFonts w:hint="default"/>
                <w:lang w:eastAsia="zh-CN"/>
              </w:rPr>
              <w:t>元</w:t>
            </w:r>
          </w:p>
          <w:p w14:paraId="24802B53">
            <w:pPr>
              <w:pStyle w:val="12"/>
              <w:rPr>
                <w:rFonts w:hint="default"/>
                <w:lang w:eastAsia="zh-CN"/>
              </w:rPr>
            </w:pPr>
            <w:r>
              <w:t>交款方式：银行转账</w:t>
            </w:r>
            <w:r>
              <w:rPr>
                <w:lang w:eastAsia="zh-CN"/>
              </w:rPr>
              <w:t>或现金。</w:t>
            </w:r>
          </w:p>
          <w:p w14:paraId="37F8E45C">
            <w:pPr>
              <w:pStyle w:val="12"/>
              <w:rPr>
                <w:rFonts w:hint="default"/>
              </w:rPr>
            </w:pPr>
            <w:r>
              <w:t>中标通知书发放后，采购合同签订前</w:t>
            </w:r>
            <w:r>
              <w:rPr>
                <w:lang w:eastAsia="zh-CN"/>
              </w:rPr>
              <w:t>，</w:t>
            </w:r>
            <w:r>
              <w:t>中标人向采购人缴纳</w:t>
            </w:r>
            <w:r>
              <w:rPr>
                <w:lang w:eastAsia="zh-CN"/>
              </w:rPr>
              <w:t>外包</w:t>
            </w:r>
            <w:r>
              <w:rPr>
                <w:rFonts w:hint="eastAsia"/>
                <w:lang w:eastAsia="zh-CN"/>
              </w:rPr>
              <w:t>服务</w:t>
            </w:r>
            <w:r>
              <w:rPr>
                <w:rFonts w:hint="default"/>
                <w:lang w:eastAsia="zh-CN"/>
              </w:rPr>
              <w:t>风险抵押金</w:t>
            </w:r>
            <w:r>
              <w:t>。收款单位、开户行、银行账号在签订合同前由采购人确定。</w:t>
            </w:r>
          </w:p>
          <w:p w14:paraId="031BDD3F">
            <w:pPr>
              <w:pStyle w:val="12"/>
              <w:rPr>
                <w:rFonts w:hint="default"/>
              </w:rPr>
            </w:pPr>
          </w:p>
        </w:tc>
      </w:tr>
      <w:tr w14:paraId="032F3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4905A94A">
            <w:pPr>
              <w:pStyle w:val="12"/>
              <w:rPr>
                <w:rFonts w:hint="eastAsia" w:eastAsiaTheme="minorEastAsia"/>
                <w:lang w:eastAsia="zh-CN"/>
              </w:rPr>
            </w:pPr>
            <w:r>
              <w:rPr>
                <w:rFonts w:hint="eastAsia"/>
                <w:lang w:val="en-US" w:eastAsia="zh-CN"/>
              </w:rPr>
              <w:t>7</w:t>
            </w:r>
          </w:p>
        </w:tc>
        <w:tc>
          <w:tcPr>
            <w:tcW w:w="2252" w:type="dxa"/>
            <w:vAlign w:val="center"/>
          </w:tcPr>
          <w:p w14:paraId="045BBC12">
            <w:pPr>
              <w:pStyle w:val="12"/>
              <w:rPr>
                <w:rFonts w:hint="default"/>
              </w:rPr>
            </w:pPr>
            <w:r>
              <w:t>投标有效期★</w:t>
            </w:r>
          </w:p>
        </w:tc>
        <w:tc>
          <w:tcPr>
            <w:tcW w:w="5004" w:type="dxa"/>
            <w:vAlign w:val="center"/>
          </w:tcPr>
          <w:p w14:paraId="045E2940">
            <w:pPr>
              <w:pStyle w:val="12"/>
              <w:rPr>
                <w:rFonts w:hint="default"/>
              </w:rPr>
            </w:pPr>
            <w:r>
              <w:t>提交投标文件的截止之日起不少于 90 天。投标文件未明确投标有效期或者少于前述规定天数的，其投标文件按无效处理。</w:t>
            </w:r>
          </w:p>
        </w:tc>
      </w:tr>
      <w:tr w14:paraId="407B4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7" w:hRule="atLeast"/>
        </w:trPr>
        <w:tc>
          <w:tcPr>
            <w:tcW w:w="1051" w:type="dxa"/>
            <w:vAlign w:val="center"/>
          </w:tcPr>
          <w:p w14:paraId="4D3D00CC">
            <w:pPr>
              <w:pStyle w:val="12"/>
              <w:rPr>
                <w:rFonts w:hint="default"/>
                <w:lang w:eastAsia="zh-CN"/>
              </w:rPr>
            </w:pPr>
            <w:r>
              <w:rPr>
                <w:rFonts w:hint="eastAsia"/>
                <w:lang w:val="en-US" w:eastAsia="zh-CN"/>
              </w:rPr>
              <w:t>8</w:t>
            </w:r>
          </w:p>
        </w:tc>
        <w:tc>
          <w:tcPr>
            <w:tcW w:w="2252" w:type="dxa"/>
            <w:vAlign w:val="center"/>
          </w:tcPr>
          <w:p w14:paraId="4FC002B7">
            <w:pPr>
              <w:pStyle w:val="12"/>
              <w:rPr>
                <w:rFonts w:hint="default"/>
              </w:rPr>
            </w:pPr>
            <w:r>
              <w:t>中标结果公告</w:t>
            </w:r>
          </w:p>
        </w:tc>
        <w:tc>
          <w:tcPr>
            <w:tcW w:w="5004" w:type="dxa"/>
            <w:vAlign w:val="center"/>
          </w:tcPr>
          <w:p w14:paraId="46D478C2">
            <w:pPr>
              <w:pStyle w:val="12"/>
              <w:rPr>
                <w:rFonts w:hint="default"/>
              </w:rPr>
            </w:pPr>
            <w:r>
              <w:t>中标结果将在</w:t>
            </w:r>
            <w:r>
              <w:rPr>
                <w:lang w:eastAsia="zh-CN"/>
              </w:rPr>
              <w:t>邻水县人民医院网</w:t>
            </w:r>
            <w:r>
              <w:t>予以公告。</w:t>
            </w:r>
          </w:p>
        </w:tc>
      </w:tr>
      <w:tr w14:paraId="7CCBB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2" w:hRule="atLeast"/>
        </w:trPr>
        <w:tc>
          <w:tcPr>
            <w:tcW w:w="1051" w:type="dxa"/>
            <w:vAlign w:val="center"/>
          </w:tcPr>
          <w:p w14:paraId="3E6B4635">
            <w:pPr>
              <w:pStyle w:val="12"/>
              <w:rPr>
                <w:rFonts w:hint="default"/>
                <w:lang w:eastAsia="zh-CN"/>
              </w:rPr>
            </w:pPr>
            <w:r>
              <w:rPr>
                <w:rFonts w:hint="eastAsia"/>
                <w:lang w:val="en-US" w:eastAsia="zh-CN"/>
              </w:rPr>
              <w:t>9</w:t>
            </w:r>
          </w:p>
        </w:tc>
        <w:tc>
          <w:tcPr>
            <w:tcW w:w="2252" w:type="dxa"/>
            <w:vAlign w:val="center"/>
          </w:tcPr>
          <w:p w14:paraId="43DF59F8">
            <w:pPr>
              <w:pStyle w:val="12"/>
              <w:rPr>
                <w:rFonts w:hint="default"/>
              </w:rPr>
            </w:pPr>
            <w:r>
              <w:t>是否组织潜在投标人现场考察</w:t>
            </w:r>
          </w:p>
        </w:tc>
        <w:tc>
          <w:tcPr>
            <w:tcW w:w="5004" w:type="dxa"/>
            <w:vAlign w:val="center"/>
          </w:tcPr>
          <w:p w14:paraId="2E0F67D1">
            <w:pPr>
              <w:pStyle w:val="12"/>
              <w:rPr>
                <w:rFonts w:hint="default"/>
              </w:rPr>
            </w:pPr>
            <w:r>
              <w:t>否</w:t>
            </w:r>
          </w:p>
        </w:tc>
      </w:tr>
      <w:tr w14:paraId="533D5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1" w:hRule="atLeast"/>
        </w:trPr>
        <w:tc>
          <w:tcPr>
            <w:tcW w:w="1051" w:type="dxa"/>
            <w:vAlign w:val="center"/>
          </w:tcPr>
          <w:p w14:paraId="09E3A662">
            <w:pPr>
              <w:pStyle w:val="12"/>
              <w:rPr>
                <w:rFonts w:hint="default"/>
                <w:lang w:val="en-US" w:eastAsia="zh-CN"/>
              </w:rPr>
            </w:pPr>
            <w:r>
              <w:rPr>
                <w:rFonts w:hint="eastAsia"/>
                <w:lang w:val="en-US" w:eastAsia="zh-CN"/>
              </w:rPr>
              <w:t>10</w:t>
            </w:r>
          </w:p>
        </w:tc>
        <w:tc>
          <w:tcPr>
            <w:tcW w:w="2252" w:type="dxa"/>
            <w:vAlign w:val="center"/>
          </w:tcPr>
          <w:p w14:paraId="26525641">
            <w:pPr>
              <w:pStyle w:val="12"/>
              <w:rPr>
                <w:rFonts w:hint="default"/>
              </w:rPr>
            </w:pPr>
            <w:r>
              <w:t>是否召开开标前答疑会</w:t>
            </w:r>
          </w:p>
        </w:tc>
        <w:tc>
          <w:tcPr>
            <w:tcW w:w="5004" w:type="dxa"/>
            <w:vAlign w:val="center"/>
          </w:tcPr>
          <w:p w14:paraId="681BCE37">
            <w:pPr>
              <w:pStyle w:val="12"/>
              <w:rPr>
                <w:rFonts w:hint="default"/>
              </w:rPr>
            </w:pPr>
            <w:r>
              <w:t>否</w:t>
            </w:r>
          </w:p>
        </w:tc>
      </w:tr>
      <w:tr w14:paraId="0CF9D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7ADC25FE">
            <w:pPr>
              <w:pStyle w:val="12"/>
              <w:rPr>
                <w:rFonts w:hint="default"/>
                <w:lang w:eastAsia="zh-CN"/>
              </w:rPr>
            </w:pPr>
            <w:r>
              <w:t>1</w:t>
            </w:r>
            <w:r>
              <w:rPr>
                <w:rFonts w:hint="eastAsia"/>
                <w:lang w:val="en-US" w:eastAsia="zh-CN"/>
              </w:rPr>
              <w:t>1</w:t>
            </w:r>
          </w:p>
        </w:tc>
        <w:tc>
          <w:tcPr>
            <w:tcW w:w="2252" w:type="dxa"/>
            <w:vAlign w:val="center"/>
          </w:tcPr>
          <w:p w14:paraId="077CCD04">
            <w:pPr>
              <w:pStyle w:val="12"/>
              <w:rPr>
                <w:rFonts w:hint="default"/>
              </w:rPr>
            </w:pPr>
            <w:r>
              <w:t>实质性要求</w:t>
            </w:r>
          </w:p>
        </w:tc>
        <w:tc>
          <w:tcPr>
            <w:tcW w:w="5004" w:type="dxa"/>
            <w:vAlign w:val="center"/>
          </w:tcPr>
          <w:p w14:paraId="579978A4">
            <w:pPr>
              <w:pStyle w:val="12"/>
              <w:rPr>
                <w:rFonts w:hint="default"/>
              </w:rPr>
            </w:pPr>
            <w:r>
              <w:t>本招标文件中“★”要求为实质性要求。投标人应当按照第五章评标程序中的符合性审查规定，在投标文件中进行实质性响应，否则作无效投标处理。</w:t>
            </w:r>
          </w:p>
        </w:tc>
      </w:tr>
      <w:tr w14:paraId="266F6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vAlign w:val="center"/>
          </w:tcPr>
          <w:p w14:paraId="49D5CE5A">
            <w:pPr>
              <w:pStyle w:val="12"/>
              <w:rPr>
                <w:rFonts w:hint="default"/>
                <w:lang w:eastAsia="zh-CN"/>
              </w:rPr>
            </w:pPr>
            <w:r>
              <w:t>1</w:t>
            </w:r>
            <w:r>
              <w:rPr>
                <w:rFonts w:hint="eastAsia"/>
                <w:lang w:val="en-US" w:eastAsia="zh-CN"/>
              </w:rPr>
              <w:t>2</w:t>
            </w:r>
          </w:p>
        </w:tc>
        <w:tc>
          <w:tcPr>
            <w:tcW w:w="2252" w:type="dxa"/>
            <w:vAlign w:val="center"/>
          </w:tcPr>
          <w:p w14:paraId="75A0AA6F">
            <w:pPr>
              <w:pStyle w:val="12"/>
              <w:rPr>
                <w:rFonts w:hint="default"/>
              </w:rPr>
            </w:pPr>
            <w:r>
              <w:t>其他说明</w:t>
            </w:r>
          </w:p>
        </w:tc>
        <w:tc>
          <w:tcPr>
            <w:tcW w:w="5004" w:type="dxa"/>
            <w:vAlign w:val="center"/>
          </w:tcPr>
          <w:p w14:paraId="14226B08">
            <w:pPr>
              <w:pStyle w:val="12"/>
              <w:rPr>
                <w:rFonts w:hint="default"/>
              </w:rPr>
            </w:pPr>
            <w:r>
              <w:t>本招标文件所称的“以上”、“以下”、“内”、“以内”、“不少于”包括本数；所称的“不足”、“低于”、“超过”不包括本数。</w:t>
            </w:r>
          </w:p>
        </w:tc>
      </w:tr>
    </w:tbl>
    <w:p w14:paraId="4A6A8C7E">
      <w:pPr>
        <w:pStyle w:val="12"/>
        <w:outlineLvl w:val="2"/>
        <w:rPr>
          <w:rFonts w:hint="default"/>
        </w:rPr>
      </w:pPr>
      <w:r>
        <w:rPr>
          <w:b/>
          <w:sz w:val="28"/>
        </w:rPr>
        <w:t>2.2.总则</w:t>
      </w:r>
    </w:p>
    <w:p w14:paraId="24533529">
      <w:pPr>
        <w:pStyle w:val="12"/>
        <w:outlineLvl w:val="3"/>
        <w:rPr>
          <w:rFonts w:hint="default"/>
        </w:rPr>
      </w:pPr>
      <w:r>
        <w:rPr>
          <w:b/>
          <w:sz w:val="24"/>
        </w:rPr>
        <w:t>2.2.1.适用范围</w:t>
      </w:r>
    </w:p>
    <w:p w14:paraId="376F6367">
      <w:pPr>
        <w:pStyle w:val="12"/>
        <w:ind w:firstLine="480"/>
        <w:rPr>
          <w:rFonts w:hint="default"/>
        </w:rPr>
      </w:pPr>
      <w:r>
        <w:t>一、本招标文件仅适用于本次公开招标采购项目。</w:t>
      </w:r>
    </w:p>
    <w:p w14:paraId="79F87303">
      <w:pPr>
        <w:pStyle w:val="12"/>
        <w:ind w:firstLine="480"/>
        <w:rPr>
          <w:rFonts w:hint="default"/>
        </w:rPr>
      </w:pPr>
      <w:r>
        <w:t>二、本招标文件由</w:t>
      </w:r>
      <w:r>
        <w:rPr>
          <w:lang w:eastAsia="zh-CN"/>
        </w:rPr>
        <w:t>邻水县人民医院</w:t>
      </w:r>
      <w:r>
        <w:t>负责解释。</w:t>
      </w:r>
    </w:p>
    <w:p w14:paraId="25C8DFDD">
      <w:pPr>
        <w:pStyle w:val="12"/>
        <w:outlineLvl w:val="3"/>
        <w:rPr>
          <w:rFonts w:hint="default"/>
        </w:rPr>
      </w:pPr>
      <w:r>
        <w:rPr>
          <w:b/>
          <w:sz w:val="24"/>
        </w:rPr>
        <w:t>2.2.2.有关定义</w:t>
      </w:r>
    </w:p>
    <w:p w14:paraId="7F3CC109">
      <w:pPr>
        <w:pStyle w:val="12"/>
        <w:ind w:firstLine="480"/>
        <w:rPr>
          <w:rFonts w:hint="default"/>
        </w:rPr>
      </w:pPr>
      <w:r>
        <w:t>一、“采购人”是指依法进行政府采购的国家机关、事业单位、团体组织。本次招标的采购人是</w:t>
      </w:r>
      <w:r>
        <w:rPr>
          <w:lang w:eastAsia="zh-CN"/>
        </w:rPr>
        <w:t>邻水县人民医院</w:t>
      </w:r>
      <w:r>
        <w:t>。</w:t>
      </w:r>
    </w:p>
    <w:p w14:paraId="5A6D9D43">
      <w:pPr>
        <w:pStyle w:val="12"/>
        <w:ind w:firstLine="480"/>
        <w:rPr>
          <w:rFonts w:hint="default"/>
        </w:rPr>
      </w:pPr>
      <w:r>
        <w:t>二、“投标人”是指按照采购公告规定获取招标文件，参加投标竞争的法人、其他组织或者自然人。</w:t>
      </w:r>
    </w:p>
    <w:p w14:paraId="12DCA030">
      <w:pPr>
        <w:pStyle w:val="12"/>
        <w:outlineLvl w:val="2"/>
        <w:rPr>
          <w:rFonts w:hint="default"/>
        </w:rPr>
      </w:pPr>
      <w:r>
        <w:rPr>
          <w:b/>
          <w:sz w:val="28"/>
        </w:rPr>
        <w:t>2.3.招标文件</w:t>
      </w:r>
    </w:p>
    <w:p w14:paraId="2D925E99">
      <w:pPr>
        <w:pStyle w:val="12"/>
        <w:outlineLvl w:val="3"/>
        <w:rPr>
          <w:rFonts w:hint="default"/>
        </w:rPr>
      </w:pPr>
      <w:r>
        <w:rPr>
          <w:b/>
          <w:sz w:val="24"/>
        </w:rPr>
        <w:t>2.3.1.招标文件的构成</w:t>
      </w:r>
    </w:p>
    <w:p w14:paraId="3168459C">
      <w:pPr>
        <w:pStyle w:val="12"/>
        <w:ind w:firstLine="480"/>
        <w:rPr>
          <w:rFonts w:hint="default"/>
        </w:rPr>
      </w:pPr>
      <w:r>
        <w:t>招标文件由</w:t>
      </w:r>
      <w:r>
        <w:rPr>
          <w:lang w:eastAsia="zh-CN"/>
        </w:rPr>
        <w:t>采购人</w:t>
      </w:r>
      <w:r>
        <w:t>编制，是项目采购活动开展的基本依据，主要包括以下内容：</w:t>
      </w:r>
    </w:p>
    <w:p w14:paraId="3D179EA2">
      <w:pPr>
        <w:pStyle w:val="12"/>
        <w:ind w:firstLine="480"/>
        <w:rPr>
          <w:rFonts w:hint="default"/>
        </w:rPr>
      </w:pPr>
      <w:r>
        <w:t>一、投标邀请；</w:t>
      </w:r>
    </w:p>
    <w:p w14:paraId="439F9B3C">
      <w:pPr>
        <w:pStyle w:val="12"/>
        <w:ind w:firstLine="480"/>
        <w:rPr>
          <w:rFonts w:hint="default"/>
        </w:rPr>
      </w:pPr>
      <w:r>
        <w:t>二、投标人须知；</w:t>
      </w:r>
    </w:p>
    <w:p w14:paraId="012E6A50">
      <w:pPr>
        <w:pStyle w:val="12"/>
        <w:ind w:firstLine="480"/>
        <w:rPr>
          <w:rFonts w:hint="default"/>
        </w:rPr>
      </w:pPr>
      <w:r>
        <w:t>三、技术、服务及其他要求；</w:t>
      </w:r>
    </w:p>
    <w:p w14:paraId="0BA07543">
      <w:pPr>
        <w:pStyle w:val="12"/>
        <w:ind w:firstLine="480"/>
        <w:rPr>
          <w:rFonts w:hint="default"/>
        </w:rPr>
      </w:pPr>
      <w:r>
        <w:t>四、资格审查；</w:t>
      </w:r>
    </w:p>
    <w:p w14:paraId="3582DB11">
      <w:pPr>
        <w:pStyle w:val="12"/>
        <w:ind w:firstLine="480"/>
        <w:rPr>
          <w:rFonts w:hint="default"/>
        </w:rPr>
      </w:pPr>
      <w:r>
        <w:t>五、评标办法；</w:t>
      </w:r>
    </w:p>
    <w:p w14:paraId="654BC971">
      <w:pPr>
        <w:pStyle w:val="12"/>
        <w:ind w:firstLine="480"/>
        <w:rPr>
          <w:rFonts w:hint="default"/>
        </w:rPr>
      </w:pPr>
      <w:r>
        <w:t>六、投标文件格式；</w:t>
      </w:r>
    </w:p>
    <w:p w14:paraId="00EAFD91">
      <w:pPr>
        <w:pStyle w:val="12"/>
        <w:ind w:firstLine="480"/>
        <w:rPr>
          <w:rFonts w:hint="default"/>
        </w:rPr>
      </w:pPr>
      <w:r>
        <w:t>七、拟签订采购合同文本。</w:t>
      </w:r>
    </w:p>
    <w:p w14:paraId="0175A35E">
      <w:pPr>
        <w:pStyle w:val="12"/>
        <w:outlineLvl w:val="3"/>
        <w:rPr>
          <w:rFonts w:hint="default"/>
        </w:rPr>
      </w:pPr>
      <w:r>
        <w:rPr>
          <w:b/>
          <w:sz w:val="24"/>
        </w:rPr>
        <w:t>2.3.2.招标文件的澄清和修改</w:t>
      </w:r>
    </w:p>
    <w:p w14:paraId="689B8CD6">
      <w:pPr>
        <w:pStyle w:val="12"/>
        <w:ind w:firstLine="480"/>
        <w:rPr>
          <w:rFonts w:hint="default"/>
        </w:rPr>
      </w:pPr>
      <w:r>
        <w:t>一、投标截止时间前，</w:t>
      </w:r>
      <w:r>
        <w:rPr>
          <w:lang w:eastAsia="zh-CN"/>
        </w:rPr>
        <w:t>采购人</w:t>
      </w:r>
      <w:r>
        <w:t>可以对已发出的招标文件进行必要的澄清或者修改，但不得改变采购标的和资格条件。</w:t>
      </w:r>
    </w:p>
    <w:p w14:paraId="696FD720">
      <w:pPr>
        <w:pStyle w:val="12"/>
        <w:ind w:firstLine="480"/>
        <w:rPr>
          <w:rFonts w:hint="default"/>
        </w:rPr>
      </w:pPr>
      <w:r>
        <w:t>二、澄清或者修改的内容为招标文件的组成部分，</w:t>
      </w:r>
      <w:r>
        <w:rPr>
          <w:lang w:eastAsia="zh-CN"/>
        </w:rPr>
        <w:t>采购人</w:t>
      </w:r>
      <w:r>
        <w:t>将在</w:t>
      </w:r>
      <w:r>
        <w:rPr>
          <w:lang w:eastAsia="zh-CN"/>
        </w:rPr>
        <w:t>邻水县人民医院网</w:t>
      </w:r>
      <w:r>
        <w:t>发布更正公告，并将更正后的招标文件上传。更正内容可能影响投标文件编制的，</w:t>
      </w:r>
      <w:r>
        <w:rPr>
          <w:lang w:eastAsia="zh-CN"/>
        </w:rPr>
        <w:t>采购人</w:t>
      </w:r>
      <w:r>
        <w:t>应当在投标截止时间至少</w:t>
      </w:r>
      <w:r>
        <w:rPr>
          <w:lang w:eastAsia="zh-CN"/>
        </w:rPr>
        <w:t>20</w:t>
      </w:r>
      <w:r>
        <w:t>日前，通过</w:t>
      </w:r>
      <w:r>
        <w:rPr>
          <w:lang w:eastAsia="zh-CN"/>
        </w:rPr>
        <w:t>公告</w:t>
      </w:r>
      <w:r>
        <w:t>向已获取招标文件的投标人发送更正信息；不足</w:t>
      </w:r>
      <w:r>
        <w:rPr>
          <w:lang w:eastAsia="zh-CN"/>
        </w:rPr>
        <w:t>20</w:t>
      </w:r>
      <w:r>
        <w:t>日的，</w:t>
      </w:r>
      <w:r>
        <w:rPr>
          <w:lang w:eastAsia="zh-CN"/>
        </w:rPr>
        <w:t>采购人</w:t>
      </w:r>
      <w:r>
        <w:t>应当顺延提交投标文件的截止时间。</w:t>
      </w:r>
    </w:p>
    <w:p w14:paraId="61445252">
      <w:pPr>
        <w:pStyle w:val="12"/>
        <w:ind w:firstLine="480"/>
        <w:rPr>
          <w:rFonts w:hint="default"/>
        </w:rPr>
      </w:pPr>
      <w:r>
        <w:t>三、投标人根据更正公告、更正信息要求，下载更正后的招标文件，进行投标文件编制。</w:t>
      </w:r>
    </w:p>
    <w:p w14:paraId="7D9002C9">
      <w:pPr>
        <w:pStyle w:val="12"/>
        <w:outlineLvl w:val="2"/>
        <w:rPr>
          <w:rFonts w:hint="default"/>
        </w:rPr>
      </w:pPr>
      <w:r>
        <w:rPr>
          <w:b/>
          <w:sz w:val="28"/>
        </w:rPr>
        <w:t>2.4.投标文件</w:t>
      </w:r>
    </w:p>
    <w:p w14:paraId="0F1A3794">
      <w:pPr>
        <w:pStyle w:val="12"/>
        <w:outlineLvl w:val="3"/>
        <w:rPr>
          <w:rFonts w:hint="default"/>
        </w:rPr>
      </w:pPr>
      <w:r>
        <w:rPr>
          <w:b/>
          <w:sz w:val="24"/>
        </w:rPr>
        <w:t>2.4.1.投标文件的语言</w:t>
      </w:r>
    </w:p>
    <w:p w14:paraId="6139CF71">
      <w:pPr>
        <w:pStyle w:val="12"/>
        <w:ind w:firstLine="480"/>
        <w:rPr>
          <w:rFonts w:hint="default"/>
        </w:rPr>
      </w:pPr>
      <w:r>
        <w:t>一、投标人提交的投标文件以及投标人与评标委员会在评标过程中的所有来往书面文件原则上使用中文。投标文件中如附有外文资料，要对应翻译成中文并附在相关外文资料后面，未翻译的外文资料，评标委员会将视其为无效材料，但以下情形除外：</w:t>
      </w:r>
    </w:p>
    <w:p w14:paraId="36CABB35">
      <w:pPr>
        <w:pStyle w:val="12"/>
        <w:ind w:firstLine="480"/>
        <w:rPr>
          <w:rFonts w:hint="default"/>
        </w:rPr>
      </w:pPr>
      <w:r>
        <w:t>（一）投标人的法定代表人为外籍人士的，法定代表人的签字和护照。</w:t>
      </w:r>
    </w:p>
    <w:p w14:paraId="3DDA5830">
      <w:pPr>
        <w:pStyle w:val="12"/>
        <w:ind w:firstLine="480"/>
        <w:rPr>
          <w:rFonts w:hint="default"/>
        </w:rPr>
      </w:pPr>
      <w:r>
        <w:t>（二）对于如生产厂家授权书、原厂技术证明资料及一些行业标准、国家标准、国际标准或者行业认证等需要以非中文表述且不宜翻译为中文的。</w:t>
      </w:r>
    </w:p>
    <w:p w14:paraId="61E3152A">
      <w:pPr>
        <w:pStyle w:val="12"/>
        <w:ind w:firstLine="480"/>
        <w:rPr>
          <w:rFonts w:hint="default"/>
        </w:rPr>
      </w:pPr>
      <w:r>
        <w:t>二、翻译的中文资料与外文资料如果出现差异和矛盾，以中文为准。涉嫌提供虚假材料的按照相关法律法规处理。</w:t>
      </w:r>
    </w:p>
    <w:p w14:paraId="13AAEC06">
      <w:pPr>
        <w:pStyle w:val="12"/>
        <w:ind w:firstLine="480"/>
        <w:rPr>
          <w:rFonts w:hint="default"/>
        </w:rPr>
      </w:pPr>
      <w:r>
        <w:t>三、如因未翻译而造成对投标人的不利后果，由投标人承担。</w:t>
      </w:r>
    </w:p>
    <w:p w14:paraId="55B3DD8F">
      <w:pPr>
        <w:pStyle w:val="12"/>
        <w:outlineLvl w:val="3"/>
        <w:rPr>
          <w:rFonts w:hint="default"/>
        </w:rPr>
      </w:pPr>
      <w:r>
        <w:rPr>
          <w:b/>
          <w:sz w:val="24"/>
        </w:rPr>
        <w:t>2.4.2.计量单位★</w:t>
      </w:r>
    </w:p>
    <w:p w14:paraId="75805EAA">
      <w:pPr>
        <w:pStyle w:val="12"/>
        <w:ind w:firstLine="480"/>
        <w:rPr>
          <w:rFonts w:hint="default"/>
        </w:rPr>
      </w:pPr>
      <w:r>
        <w:t>除招标文件中另有规定外，本项目均采用国家法定的计量单位。</w:t>
      </w:r>
    </w:p>
    <w:p w14:paraId="7C36AA73">
      <w:pPr>
        <w:pStyle w:val="12"/>
        <w:outlineLvl w:val="3"/>
        <w:rPr>
          <w:rFonts w:hint="default"/>
        </w:rPr>
      </w:pPr>
      <w:r>
        <w:rPr>
          <w:b/>
          <w:sz w:val="24"/>
        </w:rPr>
        <w:t>2.4.3.投标货币★</w:t>
      </w:r>
    </w:p>
    <w:p w14:paraId="4B4B01DC">
      <w:pPr>
        <w:pStyle w:val="12"/>
        <w:ind w:firstLine="480"/>
        <w:rPr>
          <w:rFonts w:hint="default"/>
        </w:rPr>
      </w:pPr>
      <w:r>
        <w:t>本项目均以人民币报价。</w:t>
      </w:r>
    </w:p>
    <w:p w14:paraId="66FE3B1D">
      <w:pPr>
        <w:pStyle w:val="12"/>
        <w:outlineLvl w:val="3"/>
        <w:rPr>
          <w:rFonts w:hint="default"/>
        </w:rPr>
      </w:pPr>
      <w:r>
        <w:rPr>
          <w:b/>
          <w:sz w:val="24"/>
        </w:rPr>
        <w:t>2.4.4.知识产权★</w:t>
      </w:r>
    </w:p>
    <w:p w14:paraId="06FA61B9">
      <w:pPr>
        <w:pStyle w:val="12"/>
        <w:ind w:firstLine="480"/>
        <w:rPr>
          <w:rFonts w:hint="default"/>
        </w:rPr>
      </w:pPr>
      <w:r>
        <w:t>一、投标人应保证在本项目中使用的任何技术、产品和服务（包括部分使用），不会产生因第三方提出侵犯其专利权、商标权或其它知识产权而引起的法律和经济纠纷，如存在前述情形，由投标人承担所有相关责任，并且赔偿由此给采购人带来的损失。采购人享有本项目实施过程中产生的知识成果及知识产权。</w:t>
      </w:r>
    </w:p>
    <w:p w14:paraId="59A777AA">
      <w:pPr>
        <w:pStyle w:val="12"/>
        <w:ind w:firstLine="480"/>
        <w:rPr>
          <w:rFonts w:hint="default"/>
        </w:rPr>
      </w:pPr>
      <w:r>
        <w:t>二、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w:t>
      </w:r>
    </w:p>
    <w:p w14:paraId="349DB4D8">
      <w:pPr>
        <w:pStyle w:val="12"/>
        <w:ind w:firstLine="480"/>
        <w:rPr>
          <w:rFonts w:hint="default"/>
        </w:rPr>
      </w:pPr>
      <w:r>
        <w:t>三、如使用投标人所不拥有的知识产权，则在投标报价中必须包括合法使用该知识产权的相关费用。</w:t>
      </w:r>
    </w:p>
    <w:p w14:paraId="13E89AA9">
      <w:pPr>
        <w:pStyle w:val="12"/>
        <w:outlineLvl w:val="3"/>
        <w:rPr>
          <w:rFonts w:hint="default"/>
        </w:rPr>
      </w:pPr>
      <w:r>
        <w:rPr>
          <w:b/>
          <w:sz w:val="24"/>
        </w:rPr>
        <w:t>2.4.5.投标报价★</w:t>
      </w:r>
    </w:p>
    <w:p w14:paraId="7DC49307">
      <w:pPr>
        <w:pStyle w:val="12"/>
        <w:ind w:firstLine="480"/>
        <w:rPr>
          <w:rFonts w:hint="default"/>
        </w:rPr>
      </w:pPr>
      <w:r>
        <w:t>投标人的报价是其响应本项目要求的全部工作内容的价格体现或者结算标准，包括投标人完成本项目所需的一切费用。投标人对采购内容报价要求中的每一项报价内容只允许有一个报价，任何有选择或可调整的报价将不予接受。</w:t>
      </w:r>
    </w:p>
    <w:p w14:paraId="293AB327">
      <w:pPr>
        <w:pStyle w:val="12"/>
        <w:ind w:firstLine="480"/>
        <w:rPr>
          <w:rFonts w:hint="default"/>
        </w:rPr>
      </w:pPr>
      <w:r>
        <w:t>按照招标文件第五章评标办法规定进行价格修正的，修正后的报价经投标人加盖印章确认后产生约束力。未在规定时间内确认的，视同投标人不确认，其投标无效。</w:t>
      </w:r>
    </w:p>
    <w:p w14:paraId="6B72428F">
      <w:pPr>
        <w:pStyle w:val="12"/>
        <w:outlineLvl w:val="3"/>
        <w:rPr>
          <w:rFonts w:hint="default"/>
        </w:rPr>
      </w:pPr>
      <w:r>
        <w:rPr>
          <w:b/>
          <w:sz w:val="24"/>
        </w:rPr>
        <w:t>2.4.6.投标文件的编制、签章★</w:t>
      </w:r>
    </w:p>
    <w:p w14:paraId="125628D7">
      <w:pPr>
        <w:pStyle w:val="12"/>
        <w:ind w:firstLine="480"/>
        <w:rPr>
          <w:rFonts w:hint="default"/>
        </w:rPr>
      </w:pPr>
      <w:r>
        <w:t>投标人应当按照招标文件规定编制投标文件，招标文件第六章对投标文件格式有要求的，按照格式要求编制投标文件，没有格式要求的，由投标人自行编写。</w:t>
      </w:r>
    </w:p>
    <w:p w14:paraId="25D97E83">
      <w:pPr>
        <w:pStyle w:val="12"/>
        <w:outlineLvl w:val="3"/>
        <w:rPr>
          <w:rFonts w:hint="default"/>
        </w:rPr>
      </w:pPr>
      <w:r>
        <w:rPr>
          <w:b/>
          <w:sz w:val="24"/>
        </w:rPr>
        <w:t>2.4.7.投标文件的提交★</w:t>
      </w:r>
    </w:p>
    <w:p w14:paraId="780D5614">
      <w:pPr>
        <w:pStyle w:val="12"/>
        <w:ind w:firstLine="480"/>
        <w:rPr>
          <w:rFonts w:hint="default"/>
        </w:rPr>
      </w:pPr>
      <w:r>
        <w:t>一、投标截止时间前，投标人</w:t>
      </w:r>
      <w:r>
        <w:rPr>
          <w:lang w:eastAsia="zh-CN"/>
        </w:rPr>
        <w:t>按照</w:t>
      </w:r>
      <w:r>
        <w:t>招标文件</w:t>
      </w:r>
      <w:r>
        <w:rPr>
          <w:lang w:eastAsia="zh-CN"/>
        </w:rPr>
        <w:t>要求</w:t>
      </w:r>
      <w:r>
        <w:t>完成投标文件提交。</w:t>
      </w:r>
    </w:p>
    <w:p w14:paraId="09FD99B1">
      <w:pPr>
        <w:pStyle w:val="12"/>
        <w:ind w:firstLine="480"/>
        <w:rPr>
          <w:rFonts w:hint="default"/>
        </w:rPr>
      </w:pPr>
      <w:r>
        <w:t>未按招标文件编制和提交的投标文件，将被拒绝接收。</w:t>
      </w:r>
    </w:p>
    <w:p w14:paraId="24A1CC74">
      <w:pPr>
        <w:pStyle w:val="12"/>
        <w:ind w:firstLine="480"/>
        <w:rPr>
          <w:rFonts w:hint="default"/>
        </w:rPr>
      </w:pPr>
      <w:r>
        <w:t>二、投标截止时间后，</w:t>
      </w:r>
      <w:r>
        <w:rPr>
          <w:lang w:eastAsia="zh-CN"/>
        </w:rPr>
        <w:t>采购人</w:t>
      </w:r>
      <w:r>
        <w:t>不再接受投标人提交投标文件。投标人应充分考虑影响投标文件提交的各种因素，确保在投标截止时间前完成提交。</w:t>
      </w:r>
    </w:p>
    <w:p w14:paraId="19615784">
      <w:pPr>
        <w:pStyle w:val="12"/>
        <w:ind w:firstLine="480"/>
        <w:rPr>
          <w:rFonts w:hint="default"/>
        </w:rPr>
      </w:pPr>
      <w:r>
        <w:t>三、除投标人外，其他任何单位和个人不得调整修改已提交投标文件的内容。</w:t>
      </w:r>
    </w:p>
    <w:p w14:paraId="45B5F5C0">
      <w:pPr>
        <w:pStyle w:val="12"/>
        <w:outlineLvl w:val="3"/>
        <w:rPr>
          <w:rFonts w:hint="default"/>
        </w:rPr>
      </w:pPr>
      <w:r>
        <w:rPr>
          <w:b/>
          <w:sz w:val="24"/>
        </w:rPr>
        <w:t>2.4.8.投标文件的补充、修改、撤回★</w:t>
      </w:r>
    </w:p>
    <w:p w14:paraId="3BBA5EB8">
      <w:pPr>
        <w:pStyle w:val="12"/>
        <w:ind w:firstLine="480"/>
        <w:rPr>
          <w:rFonts w:hint="default"/>
        </w:rPr>
      </w:pPr>
      <w:r>
        <w:t>投标截止时间前，投标人可以补充、修改或者撤回已成功提交的投标文件；对投标文件进行补充、修改的，应当先行撤回已提交的投标文件，补充、修改后重新提交。</w:t>
      </w:r>
    </w:p>
    <w:p w14:paraId="63F85747">
      <w:pPr>
        <w:pStyle w:val="12"/>
        <w:ind w:firstLine="480"/>
        <w:rPr>
          <w:rFonts w:hint="default"/>
        </w:rPr>
      </w:pPr>
      <w:r>
        <w:t>投标人投标文件撤回后，视为未提交过投标文件。</w:t>
      </w:r>
    </w:p>
    <w:p w14:paraId="3A15D7BC">
      <w:pPr>
        <w:pStyle w:val="12"/>
        <w:outlineLvl w:val="2"/>
        <w:rPr>
          <w:rFonts w:hint="default"/>
        </w:rPr>
      </w:pPr>
      <w:r>
        <w:rPr>
          <w:b/>
          <w:sz w:val="28"/>
        </w:rPr>
        <w:t>2.5.开标、资格审查、评标和中标</w:t>
      </w:r>
    </w:p>
    <w:p w14:paraId="17AC2B04">
      <w:pPr>
        <w:pStyle w:val="12"/>
        <w:outlineLvl w:val="3"/>
        <w:rPr>
          <w:rFonts w:hint="default"/>
        </w:rPr>
      </w:pPr>
      <w:r>
        <w:rPr>
          <w:b/>
          <w:sz w:val="24"/>
        </w:rPr>
        <w:t>2.5.1.开标</w:t>
      </w:r>
    </w:p>
    <w:p w14:paraId="54585F38">
      <w:pPr>
        <w:pStyle w:val="12"/>
        <w:rPr>
          <w:rFonts w:hint="default"/>
        </w:rPr>
      </w:pPr>
      <w:r>
        <w:rPr>
          <w:b/>
        </w:rPr>
        <w:t>2.5.1.</w:t>
      </w:r>
      <w:r>
        <w:rPr>
          <w:b/>
          <w:lang w:eastAsia="zh-CN"/>
        </w:rPr>
        <w:t>1</w:t>
      </w:r>
      <w:r>
        <w:rPr>
          <w:b/>
        </w:rPr>
        <w:t>.开标程序</w:t>
      </w:r>
    </w:p>
    <w:p w14:paraId="1EE4F56E">
      <w:pPr>
        <w:pStyle w:val="12"/>
        <w:ind w:firstLine="480"/>
        <w:rPr>
          <w:rFonts w:hint="default"/>
        </w:rPr>
      </w:pPr>
      <w:r>
        <w:t>投标截止时间后，通过</w:t>
      </w:r>
      <w:r>
        <w:rPr>
          <w:lang w:eastAsia="zh-CN"/>
        </w:rPr>
        <w:t>现场进行</w:t>
      </w:r>
      <w:r>
        <w:t>开标。</w:t>
      </w:r>
    </w:p>
    <w:p w14:paraId="68779E81">
      <w:pPr>
        <w:pStyle w:val="12"/>
        <w:rPr>
          <w:rFonts w:hint="default"/>
        </w:rPr>
      </w:pPr>
      <w:r>
        <w:rPr>
          <w:b/>
        </w:rPr>
        <w:t>2.5.1.</w:t>
      </w:r>
      <w:r>
        <w:rPr>
          <w:b/>
          <w:lang w:eastAsia="zh-CN"/>
        </w:rPr>
        <w:t>2</w:t>
      </w:r>
      <w:r>
        <w:rPr>
          <w:b/>
        </w:rPr>
        <w:t>.有关要求</w:t>
      </w:r>
    </w:p>
    <w:p w14:paraId="4C655715">
      <w:pPr>
        <w:pStyle w:val="12"/>
        <w:ind w:firstLine="480"/>
        <w:rPr>
          <w:rFonts w:hint="default"/>
        </w:rPr>
      </w:pPr>
      <w:r>
        <w:t>开标过程中，投标人对开标过程有疑义，可向</w:t>
      </w:r>
      <w:r>
        <w:rPr>
          <w:lang w:eastAsia="zh-CN"/>
        </w:rPr>
        <w:t>现场工作人员</w:t>
      </w:r>
      <w:r>
        <w:t>提出询问，</w:t>
      </w:r>
      <w:r>
        <w:rPr>
          <w:lang w:eastAsia="zh-CN"/>
        </w:rPr>
        <w:t>工作人员</w:t>
      </w:r>
      <w:r>
        <w:t>应当及时予以答复。</w:t>
      </w:r>
    </w:p>
    <w:p w14:paraId="01EA012C">
      <w:pPr>
        <w:pStyle w:val="12"/>
        <w:ind w:firstLine="480"/>
        <w:rPr>
          <w:rFonts w:hint="default"/>
        </w:rPr>
      </w:pPr>
      <w:r>
        <w:t>投标人完成投标文件</w:t>
      </w:r>
      <w:r>
        <w:rPr>
          <w:lang w:eastAsia="zh-CN"/>
        </w:rPr>
        <w:t>提交</w:t>
      </w:r>
      <w:r>
        <w:t>后，自主决定是否参加</w:t>
      </w:r>
      <w:r>
        <w:rPr>
          <w:lang w:eastAsia="zh-CN"/>
        </w:rPr>
        <w:t>现场</w:t>
      </w:r>
      <w:r>
        <w:t>开标，未参加的，视同认可开标结果。</w:t>
      </w:r>
    </w:p>
    <w:p w14:paraId="217147ED">
      <w:pPr>
        <w:pStyle w:val="12"/>
        <w:ind w:firstLine="480"/>
        <w:rPr>
          <w:rFonts w:hint="default"/>
        </w:rPr>
      </w:pPr>
      <w:r>
        <w:t>提交投标文件的投标人不足3家的，</w:t>
      </w:r>
      <w:r>
        <w:rPr>
          <w:lang w:eastAsia="zh-CN"/>
        </w:rPr>
        <w:t>采购人</w:t>
      </w:r>
      <w:r>
        <w:t>将作废标处理。</w:t>
      </w:r>
    </w:p>
    <w:p w14:paraId="5E0A13F8">
      <w:pPr>
        <w:pStyle w:val="12"/>
        <w:outlineLvl w:val="3"/>
        <w:rPr>
          <w:rFonts w:hint="default"/>
        </w:rPr>
      </w:pPr>
      <w:r>
        <w:rPr>
          <w:b/>
          <w:sz w:val="24"/>
        </w:rPr>
        <w:t>2.5.2.查询及使用信用记录</w:t>
      </w:r>
    </w:p>
    <w:p w14:paraId="6D16D8BB">
      <w:pPr>
        <w:pStyle w:val="12"/>
        <w:ind w:firstLine="480"/>
        <w:rPr>
          <w:rFonts w:hint="default"/>
        </w:rPr>
      </w:pPr>
      <w:r>
        <w:t>开标结束后，</w:t>
      </w:r>
      <w:r>
        <w:rPr>
          <w:lang w:eastAsia="zh-CN"/>
        </w:rPr>
        <w:t>采购人</w:t>
      </w:r>
      <w:r>
        <w:t>根据《关于在政府采购活动中查询及使用信用记录有关问题的通知》（财库〔2016〕125号）的要求，通过“信用中国”网站（www.creditchina.gov.cn）、“中国政府采购网”网站（www.ccgp.gov.cn）、“中国执行信息公开网”网站（http://zxgk.court.gov.cn/shixin/）等渠道，查询投标人在投标截止时间前的信用记录并保存信用记录结果网页截图，拒绝列入失信被执行人名单、重大税收违法案件当事人名单（重大税收违法失信主体）、政府采购严重违法失信行为记录名单、严重违法失信企业名单中的投标人参加本项目的采购活动。</w:t>
      </w:r>
    </w:p>
    <w:p w14:paraId="0AD8BAA0">
      <w:pPr>
        <w:pStyle w:val="12"/>
        <w:ind w:firstLine="480"/>
        <w:rPr>
          <w:rFonts w:hint="default"/>
        </w:rPr>
      </w:pPr>
      <w:r>
        <w:t>组成联合体参加政府采购活动的，将对所有联合体成员进行信用记录查询，联合体成员存在不良信用记录的，视同联合体存在不良信用记录。</w:t>
      </w:r>
    </w:p>
    <w:p w14:paraId="64C2DB74">
      <w:pPr>
        <w:pStyle w:val="12"/>
        <w:outlineLvl w:val="3"/>
        <w:rPr>
          <w:rFonts w:hint="default"/>
        </w:rPr>
      </w:pPr>
      <w:r>
        <w:rPr>
          <w:b/>
          <w:sz w:val="24"/>
        </w:rPr>
        <w:t>2.5.3.资格审查</w:t>
      </w:r>
    </w:p>
    <w:p w14:paraId="52255A90">
      <w:pPr>
        <w:pStyle w:val="12"/>
        <w:ind w:firstLine="480"/>
        <w:rPr>
          <w:rFonts w:hint="default"/>
        </w:rPr>
      </w:pPr>
      <w:r>
        <w:t>详见招标文件第四章。</w:t>
      </w:r>
    </w:p>
    <w:p w14:paraId="4D6047C3">
      <w:pPr>
        <w:pStyle w:val="12"/>
        <w:outlineLvl w:val="3"/>
        <w:rPr>
          <w:rFonts w:hint="default"/>
        </w:rPr>
      </w:pPr>
      <w:r>
        <w:rPr>
          <w:b/>
          <w:sz w:val="24"/>
        </w:rPr>
        <w:t>2.5.4.评标</w:t>
      </w:r>
    </w:p>
    <w:p w14:paraId="5BE25FB4">
      <w:pPr>
        <w:pStyle w:val="12"/>
        <w:ind w:firstLine="480"/>
        <w:rPr>
          <w:rFonts w:hint="default"/>
        </w:rPr>
      </w:pPr>
      <w:r>
        <w:t>详见招标文件第五章。</w:t>
      </w:r>
    </w:p>
    <w:p w14:paraId="090D26FB">
      <w:pPr>
        <w:pStyle w:val="12"/>
        <w:outlineLvl w:val="3"/>
        <w:rPr>
          <w:rFonts w:hint="default"/>
        </w:rPr>
      </w:pPr>
      <w:r>
        <w:rPr>
          <w:b/>
          <w:sz w:val="24"/>
        </w:rPr>
        <w:t>2.5.5.中标通知书</w:t>
      </w:r>
    </w:p>
    <w:p w14:paraId="00841995">
      <w:pPr>
        <w:pStyle w:val="12"/>
        <w:ind w:firstLine="480"/>
        <w:rPr>
          <w:rFonts w:hint="default"/>
        </w:rPr>
      </w:pPr>
      <w:r>
        <w:t>一、采购人或者评标委员会确认中标人后，</w:t>
      </w:r>
      <w:r>
        <w:rPr>
          <w:lang w:eastAsia="zh-CN"/>
        </w:rPr>
        <w:t>采购人</w:t>
      </w:r>
      <w:r>
        <w:t>在</w:t>
      </w:r>
      <w:r>
        <w:rPr>
          <w:lang w:eastAsia="zh-CN"/>
        </w:rPr>
        <w:t>邻水县人民医院网</w:t>
      </w:r>
      <w:r>
        <w:t>发布中标结果公告、发出中标通知书。</w:t>
      </w:r>
    </w:p>
    <w:p w14:paraId="19EDA710">
      <w:pPr>
        <w:pStyle w:val="12"/>
        <w:ind w:firstLine="480"/>
        <w:rPr>
          <w:rFonts w:hint="default"/>
        </w:rPr>
      </w:pPr>
      <w:r>
        <w:t>二、中标通知书对采购人和中标人均具有法律效力。如果出现政府采购法律法规、规章制度规定的中标无效情形的，将以公告形式宣布发出的中标通知书无效，并依法重新确定中标人或者重新开展采购活动。</w:t>
      </w:r>
    </w:p>
    <w:p w14:paraId="318DB719">
      <w:pPr>
        <w:pStyle w:val="12"/>
        <w:ind w:firstLine="480"/>
        <w:rPr>
          <w:rFonts w:hint="default"/>
        </w:rPr>
      </w:pPr>
      <w:r>
        <w:t>中标通知书发出后，采购人改变中标结果的，或者中标人放弃中标项目的，应当依法承担法律责任。中标人放弃中标项目视同拒绝签订合同，其中无正当理由拒不与采购人签订采购合同的，将根据</w:t>
      </w:r>
      <w:r>
        <w:rPr>
          <w:lang w:eastAsia="zh-CN"/>
        </w:rPr>
        <w:t>相关法律法规处理</w:t>
      </w:r>
      <w:r>
        <w:t>。</w:t>
      </w:r>
    </w:p>
    <w:p w14:paraId="2325CDB9">
      <w:pPr>
        <w:pStyle w:val="12"/>
        <w:outlineLvl w:val="2"/>
        <w:rPr>
          <w:rFonts w:hint="default"/>
        </w:rPr>
      </w:pPr>
      <w:r>
        <w:rPr>
          <w:b/>
          <w:sz w:val="28"/>
        </w:rPr>
        <w:t>2.6.合同签订、备案、履行及验收</w:t>
      </w:r>
    </w:p>
    <w:p w14:paraId="442828DA">
      <w:pPr>
        <w:pStyle w:val="12"/>
        <w:outlineLvl w:val="3"/>
        <w:rPr>
          <w:rFonts w:hint="default"/>
        </w:rPr>
      </w:pPr>
      <w:r>
        <w:rPr>
          <w:b/>
          <w:sz w:val="24"/>
        </w:rPr>
        <w:t>2.6.1.签订合同</w:t>
      </w:r>
    </w:p>
    <w:p w14:paraId="63241F2B">
      <w:pPr>
        <w:pStyle w:val="12"/>
        <w:ind w:firstLine="480"/>
        <w:rPr>
          <w:rFonts w:hint="default"/>
        </w:rPr>
      </w:pPr>
      <w:r>
        <w:t>一、采购人应在中标通知书发出之日起30日内与中标人签订书面合同，采购人因不可抗力原因迟延签订合同的，应当自不可抗力事由消除之日起7日内完成合同签订事宜。</w:t>
      </w:r>
    </w:p>
    <w:p w14:paraId="2D4CBDC5">
      <w:pPr>
        <w:pStyle w:val="12"/>
        <w:ind w:firstLine="480"/>
        <w:rPr>
          <w:rFonts w:hint="default"/>
        </w:rPr>
      </w:pPr>
      <w:r>
        <w:t>二、采购人和中标人签订的书面合同不得对招标文件确定的事项以及中标人的投标文件作实质性修改，采购人不得向中标人提出任何不合理的要求作为签订合同的条件。</w:t>
      </w:r>
    </w:p>
    <w:p w14:paraId="6ECA3F6F">
      <w:pPr>
        <w:pStyle w:val="12"/>
        <w:ind w:firstLine="480"/>
        <w:rPr>
          <w:rFonts w:hint="default"/>
        </w:rPr>
      </w:pPr>
      <w:r>
        <w:t>三、采购合同自采购人和中标人在书面合同上签章之日起生效。</w:t>
      </w:r>
    </w:p>
    <w:p w14:paraId="02A33A2D">
      <w:pPr>
        <w:pStyle w:val="12"/>
        <w:ind w:firstLine="480"/>
        <w:rPr>
          <w:rFonts w:hint="default"/>
        </w:rPr>
      </w:pPr>
      <w:r>
        <w:t>四、中标人完全遵守《中华人民共和国劳动合同法》有关规定和《中华人民共和国妇女权益保障法》中关于“劳动和社会保障权益”的有关要求。</w:t>
      </w:r>
    </w:p>
    <w:p w14:paraId="08B71C7F">
      <w:pPr>
        <w:pStyle w:val="12"/>
        <w:outlineLvl w:val="3"/>
        <w:rPr>
          <w:rFonts w:hint="default"/>
        </w:rPr>
      </w:pPr>
      <w:r>
        <w:rPr>
          <w:b/>
          <w:sz w:val="24"/>
        </w:rPr>
        <w:t>2.6.2.</w:t>
      </w:r>
      <w:r>
        <w:rPr>
          <w:b/>
          <w:sz w:val="24"/>
          <w:lang w:eastAsia="zh-CN"/>
        </w:rPr>
        <w:t>采购合同</w:t>
      </w:r>
      <w:r>
        <w:rPr>
          <w:b/>
          <w:sz w:val="24"/>
        </w:rPr>
        <w:t>公告、备案</w:t>
      </w:r>
    </w:p>
    <w:p w14:paraId="24750811">
      <w:pPr>
        <w:pStyle w:val="12"/>
        <w:outlineLvl w:val="3"/>
        <w:rPr>
          <w:rFonts w:hint="default"/>
        </w:rPr>
      </w:pPr>
      <w:r>
        <w:rPr>
          <w:b/>
          <w:sz w:val="24"/>
        </w:rPr>
        <w:t>2.6.3.合同分包和转包★</w:t>
      </w:r>
    </w:p>
    <w:p w14:paraId="1249762D">
      <w:pPr>
        <w:pStyle w:val="12"/>
        <w:outlineLvl w:val="3"/>
        <w:rPr>
          <w:rFonts w:hint="default"/>
        </w:rPr>
      </w:pPr>
      <w:r>
        <w:rPr>
          <w:b/>
          <w:sz w:val="24"/>
        </w:rPr>
        <w:t>2.6.3.1.合同分包</w:t>
      </w:r>
    </w:p>
    <w:p w14:paraId="1906981C">
      <w:pPr>
        <w:pStyle w:val="12"/>
        <w:ind w:firstLine="400" w:firstLineChars="200"/>
        <w:rPr>
          <w:rFonts w:hint="default"/>
        </w:rPr>
      </w:pPr>
      <w:r>
        <w:t>本项目不允许合同分包。</w:t>
      </w:r>
    </w:p>
    <w:p w14:paraId="56370290">
      <w:pPr>
        <w:pStyle w:val="12"/>
        <w:outlineLvl w:val="3"/>
        <w:rPr>
          <w:rFonts w:hint="default"/>
        </w:rPr>
      </w:pPr>
      <w:r>
        <w:rPr>
          <w:b/>
          <w:sz w:val="24"/>
        </w:rPr>
        <w:t>2.6.3.2.合同转包</w:t>
      </w:r>
    </w:p>
    <w:p w14:paraId="706A6173">
      <w:pPr>
        <w:pStyle w:val="12"/>
        <w:ind w:firstLine="480"/>
        <w:rPr>
          <w:rFonts w:hint="default"/>
        </w:rPr>
      </w:pPr>
      <w:r>
        <w:t>一、严禁中标人将本项目合同转包。</w:t>
      </w:r>
    </w:p>
    <w:p w14:paraId="23EDD1E7">
      <w:pPr>
        <w:pStyle w:val="12"/>
        <w:ind w:firstLine="480"/>
        <w:rPr>
          <w:rFonts w:hint="default"/>
        </w:rPr>
      </w:pPr>
      <w:r>
        <w:t>二、中标人将合同转包的，将依法追究法律责任。</w:t>
      </w:r>
    </w:p>
    <w:p w14:paraId="1AA49511">
      <w:pPr>
        <w:pStyle w:val="12"/>
        <w:outlineLvl w:val="3"/>
        <w:rPr>
          <w:rFonts w:hint="default"/>
        </w:rPr>
      </w:pPr>
      <w:r>
        <w:rPr>
          <w:b/>
          <w:sz w:val="24"/>
        </w:rPr>
        <w:t>2.6.4.采购人增加合同标的的权利</w:t>
      </w:r>
    </w:p>
    <w:p w14:paraId="2DA6FDC5">
      <w:pPr>
        <w:pStyle w:val="12"/>
        <w:ind w:firstLine="480"/>
        <w:rPr>
          <w:rFonts w:hint="default"/>
        </w:rPr>
      </w:pPr>
      <w:r>
        <w:t>采购合同履行过程中，采购人需要追加与合同标的相同的货物或者服务的，在不改变合同其他条款的前提下，可以与中标人协商签订补充合同，但所有补充合同的采购金额不得超过原合同采购金额的百分之十。签订不超过三年履行期限</w:t>
      </w:r>
      <w:r>
        <w:rPr>
          <w:lang w:eastAsia="zh-CN"/>
        </w:rPr>
        <w:t>采购合同</w:t>
      </w:r>
      <w:r>
        <w:t>的项目不适用前述规定。</w:t>
      </w:r>
    </w:p>
    <w:p w14:paraId="2CA57E67">
      <w:pPr>
        <w:pStyle w:val="12"/>
        <w:outlineLvl w:val="3"/>
        <w:rPr>
          <w:rFonts w:hint="default"/>
        </w:rPr>
      </w:pPr>
      <w:r>
        <w:rPr>
          <w:b/>
          <w:sz w:val="24"/>
        </w:rPr>
        <w:t>2.6.5.履行合同</w:t>
      </w:r>
    </w:p>
    <w:p w14:paraId="161EBF6B">
      <w:pPr>
        <w:pStyle w:val="12"/>
        <w:ind w:firstLine="480"/>
        <w:rPr>
          <w:rFonts w:hint="default"/>
        </w:rPr>
      </w:pPr>
      <w:r>
        <w:t>一、采购人与中标人应当根据合同的约定依法履行合同义务。</w:t>
      </w:r>
    </w:p>
    <w:p w14:paraId="4570A332">
      <w:pPr>
        <w:pStyle w:val="12"/>
        <w:ind w:firstLine="480"/>
        <w:rPr>
          <w:rFonts w:hint="default"/>
        </w:rPr>
      </w:pPr>
      <w:r>
        <w:t>二、采购合同的履行、违约责任和解决争议的方法等适用《中华人民共和国民法典》。</w:t>
      </w:r>
    </w:p>
    <w:p w14:paraId="6DCC6936">
      <w:pPr>
        <w:pStyle w:val="12"/>
        <w:outlineLvl w:val="3"/>
        <w:rPr>
          <w:rFonts w:hint="default"/>
        </w:rPr>
      </w:pPr>
      <w:r>
        <w:rPr>
          <w:b/>
          <w:sz w:val="24"/>
        </w:rPr>
        <w:t>2.6.6.履约验收方案</w:t>
      </w:r>
    </w:p>
    <w:p w14:paraId="45D1AD64">
      <w:pPr>
        <w:pStyle w:val="12"/>
        <w:ind w:firstLine="480"/>
        <w:rPr>
          <w:rFonts w:hint="default"/>
        </w:rPr>
      </w:pPr>
      <w:r>
        <w:t>一、验收组织方式：</w:t>
      </w:r>
    </w:p>
    <w:p w14:paraId="2AF5FEDB">
      <w:pPr>
        <w:pStyle w:val="12"/>
        <w:ind w:firstLine="480"/>
        <w:rPr>
          <w:rFonts w:hint="default"/>
        </w:rPr>
      </w:pPr>
      <w:r>
        <w:t>自行验收</w:t>
      </w:r>
    </w:p>
    <w:p w14:paraId="1CF5A6B9">
      <w:pPr>
        <w:pStyle w:val="12"/>
        <w:ind w:firstLine="480"/>
        <w:rPr>
          <w:rFonts w:hint="default"/>
        </w:rPr>
      </w:pPr>
      <w:r>
        <w:t>二、是否邀请本项目的其他供应商：</w:t>
      </w:r>
    </w:p>
    <w:p w14:paraId="2AC8BF25">
      <w:pPr>
        <w:pStyle w:val="12"/>
        <w:ind w:firstLine="480"/>
        <w:rPr>
          <w:rFonts w:hint="default"/>
        </w:rPr>
      </w:pPr>
      <w:r>
        <w:t>否</w:t>
      </w:r>
    </w:p>
    <w:p w14:paraId="5CA5E5AC">
      <w:pPr>
        <w:pStyle w:val="12"/>
        <w:ind w:firstLine="480"/>
        <w:rPr>
          <w:rFonts w:hint="default"/>
        </w:rPr>
      </w:pPr>
      <w:r>
        <w:t>三、是否邀请专家：</w:t>
      </w:r>
    </w:p>
    <w:p w14:paraId="416AB0B8">
      <w:pPr>
        <w:pStyle w:val="12"/>
        <w:ind w:firstLine="480"/>
        <w:rPr>
          <w:rFonts w:hint="default"/>
        </w:rPr>
      </w:pPr>
      <w:r>
        <w:t>否</w:t>
      </w:r>
    </w:p>
    <w:p w14:paraId="09259152">
      <w:pPr>
        <w:pStyle w:val="12"/>
        <w:ind w:firstLine="480"/>
        <w:rPr>
          <w:rFonts w:hint="default"/>
        </w:rPr>
      </w:pPr>
      <w:r>
        <w:t>四、是否邀请服务对象：</w:t>
      </w:r>
    </w:p>
    <w:p w14:paraId="49306BD5">
      <w:pPr>
        <w:pStyle w:val="12"/>
        <w:ind w:firstLine="480"/>
        <w:rPr>
          <w:rFonts w:hint="default"/>
        </w:rPr>
      </w:pPr>
      <w:r>
        <w:t>否</w:t>
      </w:r>
    </w:p>
    <w:p w14:paraId="2B947DFF">
      <w:pPr>
        <w:pStyle w:val="12"/>
        <w:ind w:firstLine="480"/>
        <w:rPr>
          <w:rFonts w:hint="default"/>
        </w:rPr>
      </w:pPr>
      <w:r>
        <w:t>五、是否邀请第三方检测机构：</w:t>
      </w:r>
    </w:p>
    <w:p w14:paraId="4612152A">
      <w:pPr>
        <w:pStyle w:val="12"/>
        <w:ind w:firstLine="480"/>
        <w:rPr>
          <w:rFonts w:hint="default"/>
        </w:rPr>
      </w:pPr>
      <w:r>
        <w:t>否</w:t>
      </w:r>
    </w:p>
    <w:p w14:paraId="6DF298C4">
      <w:pPr>
        <w:pStyle w:val="12"/>
        <w:numPr>
          <w:ilvl w:val="0"/>
          <w:numId w:val="1"/>
        </w:numPr>
        <w:ind w:firstLine="480"/>
        <w:rPr>
          <w:rFonts w:hint="default"/>
        </w:rPr>
      </w:pPr>
      <w:r>
        <w:t>履约验收程序：</w:t>
      </w:r>
    </w:p>
    <w:p w14:paraId="17C18A18">
      <w:pPr>
        <w:pStyle w:val="12"/>
        <w:ind w:firstLine="600" w:firstLineChars="300"/>
        <w:rPr>
          <w:rFonts w:hint="default"/>
        </w:rPr>
      </w:pPr>
      <w:r>
        <w:rPr>
          <w:lang w:eastAsia="zh-CN"/>
        </w:rPr>
        <w:t>自行考核</w:t>
      </w:r>
    </w:p>
    <w:p w14:paraId="6173D33C">
      <w:pPr>
        <w:pStyle w:val="12"/>
        <w:ind w:firstLine="480"/>
        <w:rPr>
          <w:rFonts w:hint="default"/>
        </w:rPr>
      </w:pPr>
      <w:r>
        <w:t>七、履约验收时间：</w:t>
      </w:r>
    </w:p>
    <w:p w14:paraId="38B7BAAE">
      <w:pPr>
        <w:pStyle w:val="12"/>
        <w:ind w:firstLine="600" w:firstLineChars="300"/>
        <w:rPr>
          <w:rFonts w:hint="default"/>
          <w:lang w:eastAsia="zh-CN"/>
        </w:rPr>
      </w:pPr>
      <w:r>
        <w:rPr>
          <w:lang w:eastAsia="zh-CN"/>
        </w:rPr>
        <w:t>无。</w:t>
      </w:r>
    </w:p>
    <w:p w14:paraId="705BC235">
      <w:pPr>
        <w:pStyle w:val="12"/>
        <w:ind w:firstLine="480"/>
        <w:rPr>
          <w:rFonts w:hint="default"/>
        </w:rPr>
      </w:pPr>
      <w:r>
        <w:t>八、验收组织的其他事项：</w:t>
      </w:r>
    </w:p>
    <w:p w14:paraId="0A9F60FE">
      <w:pPr>
        <w:pStyle w:val="12"/>
        <w:ind w:firstLine="480"/>
        <w:rPr>
          <w:rFonts w:hint="default"/>
        </w:rPr>
      </w:pPr>
      <w:r>
        <w:t>无。</w:t>
      </w:r>
    </w:p>
    <w:p w14:paraId="6CCC027F">
      <w:pPr>
        <w:pStyle w:val="12"/>
        <w:ind w:firstLine="480"/>
        <w:rPr>
          <w:rFonts w:hint="default"/>
        </w:rPr>
      </w:pPr>
      <w:r>
        <w:t>九、技术履约验收内容：</w:t>
      </w:r>
    </w:p>
    <w:p w14:paraId="00B6042B">
      <w:pPr>
        <w:pStyle w:val="12"/>
        <w:ind w:firstLine="480"/>
        <w:rPr>
          <w:rFonts w:hint="default"/>
        </w:rPr>
      </w:pPr>
      <w:r>
        <w:t>①审核服务内容是否与投标文件内容一致。 ②审核项目中服务是否达到规定要求。</w:t>
      </w:r>
    </w:p>
    <w:p w14:paraId="5BD7166A">
      <w:pPr>
        <w:pStyle w:val="12"/>
        <w:ind w:firstLine="480"/>
        <w:rPr>
          <w:rFonts w:hint="default"/>
        </w:rPr>
      </w:pPr>
      <w:r>
        <w:t>十、商务履约验收内容：</w:t>
      </w:r>
    </w:p>
    <w:p w14:paraId="2D118556">
      <w:pPr>
        <w:pStyle w:val="12"/>
        <w:ind w:firstLine="480"/>
        <w:rPr>
          <w:rFonts w:hint="default"/>
        </w:rPr>
      </w:pPr>
      <w:r>
        <w:t>①审核提供验收的各类资料的正确性、完整性。 ②审核提供验收的各类资料是否齐全、合理。 ③审核实施进度情况是否符合招标文件要求。</w:t>
      </w:r>
    </w:p>
    <w:p w14:paraId="49527D3D">
      <w:pPr>
        <w:pStyle w:val="12"/>
        <w:ind w:firstLine="480"/>
        <w:rPr>
          <w:rFonts w:hint="default"/>
        </w:rPr>
      </w:pPr>
      <w:r>
        <w:t>十一、履约验收标准：</w:t>
      </w:r>
    </w:p>
    <w:p w14:paraId="53AC098A">
      <w:pPr>
        <w:pStyle w:val="12"/>
        <w:ind w:firstLine="480"/>
        <w:rPr>
          <w:rFonts w:hint="default"/>
        </w:rPr>
      </w:pPr>
      <w:r>
        <w:t>1.严格按照本项目采购文件、供应商响应文件、《财政部关于进一步加强政府采购需求和履约验收管理的指导意见》（财库〔2016〕205号）</w:t>
      </w:r>
      <w:r>
        <w:rPr>
          <w:color w:val="000000" w:themeColor="text1"/>
          <w14:textFill>
            <w14:solidFill>
              <w14:schemeClr w14:val="tx1"/>
            </w14:solidFill>
          </w14:textFill>
        </w:rPr>
        <w:t>等</w:t>
      </w:r>
      <w:r>
        <w:t>相关法律法规的要求进行验收。 2.所有食品必须安全、卫生、无毒、无害，符合食品卫生质量要求。 3.所有食材必须符合卫生防疫、检疫部门，质量检验、监督等部门的相关质量要求。 4.若供应商所提供食品的质量因不符合相关质量标准，导致采购人被卫生防疫、检疫部门处罚，所产生的罚款费用由</w:t>
      </w:r>
      <w:r>
        <w:rPr>
          <w:lang w:eastAsia="zh-CN"/>
        </w:rPr>
        <w:t>中标人</w:t>
      </w:r>
      <w:r>
        <w:t>全额承担，将依据合同条款进行处罚，情节严重者终止合同，并按合同违约条款进行赔偿。 5.质量要求：所有食品质量必须达到《中华人民共和国食品安全法》及相关法律法规的要求。 6.采购人明确禁止使用含有兴奋剂的食品和添加剂，供应商应完全尊重采购人的要求，确保所供应食品中不出现含瘦肉精等类似违禁添加剂。</w:t>
      </w:r>
    </w:p>
    <w:p w14:paraId="794C7A00">
      <w:pPr>
        <w:pStyle w:val="12"/>
        <w:ind w:firstLine="480"/>
        <w:rPr>
          <w:rFonts w:hint="default"/>
        </w:rPr>
      </w:pPr>
      <w:r>
        <w:t>十二、履约验收其他事项：</w:t>
      </w:r>
    </w:p>
    <w:p w14:paraId="0EC4973D">
      <w:pPr>
        <w:pStyle w:val="12"/>
        <w:ind w:firstLine="480"/>
        <w:rPr>
          <w:rFonts w:hint="default"/>
        </w:rPr>
      </w:pPr>
      <w:r>
        <w:t>无。</w:t>
      </w:r>
    </w:p>
    <w:p w14:paraId="4071EA32">
      <w:pPr>
        <w:pStyle w:val="12"/>
        <w:outlineLvl w:val="3"/>
        <w:rPr>
          <w:rFonts w:hint="default"/>
        </w:rPr>
      </w:pPr>
      <w:r>
        <w:rPr>
          <w:b/>
          <w:sz w:val="24"/>
        </w:rPr>
        <w:t>2.6.7.资金支付</w:t>
      </w:r>
    </w:p>
    <w:p w14:paraId="36EE7521">
      <w:pPr>
        <w:pStyle w:val="12"/>
        <w:ind w:firstLine="480"/>
        <w:rPr>
          <w:rFonts w:hint="default"/>
        </w:rPr>
      </w:pPr>
      <w:r>
        <w:t>中标人将按照</w:t>
      </w:r>
      <w:r>
        <w:rPr>
          <w:lang w:eastAsia="zh-CN"/>
        </w:rPr>
        <w:t>采购合同</w:t>
      </w:r>
      <w:r>
        <w:t>规定，及时向采购人支付</w:t>
      </w:r>
      <w:r>
        <w:rPr>
          <w:rFonts w:hint="default"/>
          <w:lang w:eastAsia="zh-CN"/>
        </w:rPr>
        <w:t>食堂外包</w:t>
      </w:r>
      <w:r>
        <w:rPr>
          <w:lang w:eastAsia="zh-CN"/>
        </w:rPr>
        <w:t>服务</w:t>
      </w:r>
      <w:r>
        <w:rPr>
          <w:rFonts w:hint="default"/>
          <w:lang w:eastAsia="zh-CN"/>
        </w:rPr>
        <w:t>管理费</w:t>
      </w:r>
      <w:r>
        <w:t>。具体支付约定详见第三章。</w:t>
      </w:r>
    </w:p>
    <w:p w14:paraId="52F952B6">
      <w:pPr>
        <w:pStyle w:val="12"/>
        <w:outlineLvl w:val="2"/>
        <w:rPr>
          <w:rFonts w:hint="default"/>
        </w:rPr>
      </w:pPr>
      <w:r>
        <w:rPr>
          <w:b/>
          <w:sz w:val="28"/>
        </w:rPr>
        <w:t>2.7.纪律要求</w:t>
      </w:r>
    </w:p>
    <w:p w14:paraId="1384E751">
      <w:pPr>
        <w:pStyle w:val="12"/>
        <w:outlineLvl w:val="3"/>
        <w:rPr>
          <w:rFonts w:hint="default"/>
        </w:rPr>
      </w:pPr>
      <w:r>
        <w:rPr>
          <w:b/>
          <w:sz w:val="24"/>
        </w:rPr>
        <w:t>2.7.1.保密要求</w:t>
      </w:r>
    </w:p>
    <w:p w14:paraId="498E0346">
      <w:pPr>
        <w:pStyle w:val="12"/>
        <w:ind w:firstLine="480"/>
        <w:rPr>
          <w:rFonts w:hint="default"/>
        </w:rPr>
      </w:pPr>
      <w:r>
        <w:rPr>
          <w:lang w:eastAsia="zh-CN"/>
        </w:rPr>
        <w:t>采购人</w:t>
      </w:r>
      <w:r>
        <w:t>应当采取必要措施，保证评标在严格保密的情况下进行。除采购人代表、评标现场组织人员外，采购人的其他工作人员以及与评标工作无关的人员不得进入评标现场。</w:t>
      </w:r>
    </w:p>
    <w:p w14:paraId="47325B98">
      <w:pPr>
        <w:pStyle w:val="12"/>
        <w:ind w:firstLine="480"/>
        <w:rPr>
          <w:rFonts w:hint="default"/>
        </w:rPr>
      </w:pPr>
      <w:r>
        <w:t>有关人员对评标情况以及在评标过程中获悉的国家秘密、商业秘密负有保密责任。</w:t>
      </w:r>
    </w:p>
    <w:p w14:paraId="112CD341">
      <w:pPr>
        <w:pStyle w:val="12"/>
        <w:outlineLvl w:val="3"/>
        <w:rPr>
          <w:rFonts w:hint="default"/>
        </w:rPr>
      </w:pPr>
      <w:r>
        <w:rPr>
          <w:b/>
          <w:sz w:val="24"/>
        </w:rPr>
        <w:t>2.7.2.投标人不得具有的情形</w:t>
      </w:r>
    </w:p>
    <w:p w14:paraId="5641C658">
      <w:pPr>
        <w:pStyle w:val="12"/>
        <w:ind w:firstLine="480"/>
        <w:rPr>
          <w:rFonts w:hint="default"/>
        </w:rPr>
      </w:pPr>
      <w:r>
        <w:t>投标人参加投标不得有下列情形：</w:t>
      </w:r>
    </w:p>
    <w:p w14:paraId="33E0667A">
      <w:pPr>
        <w:pStyle w:val="12"/>
        <w:ind w:firstLine="480"/>
        <w:rPr>
          <w:rFonts w:hint="default"/>
        </w:rPr>
      </w:pPr>
      <w:r>
        <w:t>一、有下列情形之一的，视为投标人串通投标：</w:t>
      </w:r>
    </w:p>
    <w:p w14:paraId="12556381">
      <w:pPr>
        <w:pStyle w:val="12"/>
        <w:ind w:firstLine="480"/>
        <w:rPr>
          <w:rFonts w:hint="default"/>
        </w:rPr>
      </w:pPr>
      <w:r>
        <w:t>（一）不同投标人的投标文件由同一单位或者个人编制；</w:t>
      </w:r>
    </w:p>
    <w:p w14:paraId="55AB3122">
      <w:pPr>
        <w:pStyle w:val="12"/>
        <w:ind w:firstLine="480"/>
        <w:rPr>
          <w:rFonts w:hint="default"/>
        </w:rPr>
      </w:pPr>
      <w:r>
        <w:t>（二）不同投标人委托同一单位或者个人办理投标事宜；</w:t>
      </w:r>
    </w:p>
    <w:p w14:paraId="5C25A0A4">
      <w:pPr>
        <w:pStyle w:val="12"/>
        <w:ind w:firstLine="480"/>
        <w:rPr>
          <w:rFonts w:hint="default"/>
        </w:rPr>
      </w:pPr>
      <w:r>
        <w:t>（三）不同投标人的投标文件载明的项目管理成员或者联系人员为同一人；</w:t>
      </w:r>
    </w:p>
    <w:p w14:paraId="6A548F1E">
      <w:pPr>
        <w:pStyle w:val="12"/>
        <w:ind w:firstLine="480"/>
        <w:rPr>
          <w:rFonts w:hint="default"/>
        </w:rPr>
      </w:pPr>
      <w:r>
        <w:t>（四）不同投标人的投标文件异常一致或者投标报价呈规律性差异；</w:t>
      </w:r>
    </w:p>
    <w:p w14:paraId="180AEB0D">
      <w:pPr>
        <w:pStyle w:val="12"/>
        <w:ind w:firstLine="480"/>
        <w:rPr>
          <w:rFonts w:hint="default"/>
        </w:rPr>
      </w:pPr>
      <w:r>
        <w:t>（五）不同投标人的投标文件相互混装；</w:t>
      </w:r>
    </w:p>
    <w:p w14:paraId="1C8E47C7">
      <w:pPr>
        <w:pStyle w:val="12"/>
        <w:ind w:firstLine="480"/>
        <w:rPr>
          <w:rFonts w:hint="default"/>
        </w:rPr>
      </w:pPr>
      <w:r>
        <w:t>（六）不同投标人的投标保证金从同一单位和账户转出。</w:t>
      </w:r>
    </w:p>
    <w:p w14:paraId="693B6874">
      <w:pPr>
        <w:pStyle w:val="12"/>
        <w:ind w:firstLine="480"/>
        <w:rPr>
          <w:rFonts w:hint="default"/>
        </w:rPr>
      </w:pPr>
      <w:r>
        <w:t>二、有下列情形之一的，属于恶意串通，对投标人依照《中华人民共和国政府采购法》第七十七条第一款的规定追究法律责任，对</w:t>
      </w:r>
      <w:r>
        <w:rPr>
          <w:lang w:eastAsia="zh-CN"/>
        </w:rPr>
        <w:t>采购人</w:t>
      </w:r>
      <w:r>
        <w:t>及其工作人员依照《中华人民共和国政府采购法》第七十二条的规定追究法律责任：</w:t>
      </w:r>
    </w:p>
    <w:p w14:paraId="38F41C5E">
      <w:pPr>
        <w:pStyle w:val="12"/>
        <w:ind w:firstLine="480"/>
        <w:rPr>
          <w:rFonts w:hint="default"/>
        </w:rPr>
      </w:pPr>
      <w:r>
        <w:t>（一）投标人直接或者间接从</w:t>
      </w:r>
      <w:r>
        <w:rPr>
          <w:lang w:eastAsia="zh-CN"/>
        </w:rPr>
        <w:t>采购人</w:t>
      </w:r>
      <w:r>
        <w:t>处获得其他投标人的相关情况并修改其投标文件；</w:t>
      </w:r>
    </w:p>
    <w:p w14:paraId="2D93FF11">
      <w:pPr>
        <w:pStyle w:val="12"/>
        <w:ind w:firstLine="480"/>
        <w:rPr>
          <w:rFonts w:hint="default"/>
        </w:rPr>
      </w:pPr>
      <w:r>
        <w:t>（二）投标人按照</w:t>
      </w:r>
      <w:r>
        <w:rPr>
          <w:lang w:eastAsia="zh-CN"/>
        </w:rPr>
        <w:t>采购人</w:t>
      </w:r>
      <w:r>
        <w:t>的授意撤换、修改投标文件；</w:t>
      </w:r>
    </w:p>
    <w:p w14:paraId="7F3E107D">
      <w:pPr>
        <w:pStyle w:val="12"/>
        <w:ind w:firstLine="480"/>
        <w:rPr>
          <w:rFonts w:hint="default"/>
        </w:rPr>
      </w:pPr>
      <w:r>
        <w:t>（三）投标人之间协商报价、技术方案等投标文件的实质性内容；</w:t>
      </w:r>
    </w:p>
    <w:p w14:paraId="01EFC328">
      <w:pPr>
        <w:pStyle w:val="12"/>
        <w:ind w:firstLine="480"/>
        <w:rPr>
          <w:rFonts w:hint="default"/>
        </w:rPr>
      </w:pPr>
      <w:r>
        <w:t>（四）属于同一集团、协会、商会等组织成员的投标人按照该组织要求协同参加政府采购活动；</w:t>
      </w:r>
    </w:p>
    <w:p w14:paraId="4E171B71">
      <w:pPr>
        <w:pStyle w:val="12"/>
        <w:ind w:firstLine="480"/>
        <w:rPr>
          <w:rFonts w:hint="default"/>
        </w:rPr>
      </w:pPr>
      <w:r>
        <w:t>（五）投标人之间事先约定由某一特定投标人中标；</w:t>
      </w:r>
    </w:p>
    <w:p w14:paraId="7BFB7E08">
      <w:pPr>
        <w:pStyle w:val="12"/>
        <w:ind w:firstLine="480"/>
        <w:rPr>
          <w:rFonts w:hint="default"/>
        </w:rPr>
      </w:pPr>
      <w:r>
        <w:t>（六）投标人之间商定部分投标人放弃参加政府采购活动或者放弃中标；</w:t>
      </w:r>
    </w:p>
    <w:p w14:paraId="478AA736">
      <w:pPr>
        <w:pStyle w:val="12"/>
        <w:ind w:firstLine="480"/>
        <w:rPr>
          <w:rFonts w:hint="default"/>
        </w:rPr>
      </w:pPr>
      <w:r>
        <w:t>（七）投标人与</w:t>
      </w:r>
      <w:r>
        <w:rPr>
          <w:lang w:eastAsia="zh-CN"/>
        </w:rPr>
        <w:t>采购人</w:t>
      </w:r>
      <w:r>
        <w:t>之间、投标人相互之间，为谋求特定投标人成交或者排斥其他投标人的其他串通行为。</w:t>
      </w:r>
    </w:p>
    <w:p w14:paraId="07151FC1">
      <w:pPr>
        <w:pStyle w:val="12"/>
        <w:ind w:firstLine="480"/>
        <w:rPr>
          <w:rFonts w:hint="default"/>
        </w:rPr>
      </w:pPr>
      <w:r>
        <w:t>三、提供虚假材料谋取中标；</w:t>
      </w:r>
    </w:p>
    <w:p w14:paraId="21D0FD1F">
      <w:pPr>
        <w:pStyle w:val="12"/>
        <w:ind w:firstLine="480"/>
        <w:rPr>
          <w:rFonts w:hint="default"/>
        </w:rPr>
      </w:pPr>
      <w:r>
        <w:t>四、采取不正当手段诋毁、排挤其他投标人；</w:t>
      </w:r>
    </w:p>
    <w:p w14:paraId="57DE064F">
      <w:pPr>
        <w:pStyle w:val="12"/>
        <w:ind w:firstLine="480"/>
        <w:rPr>
          <w:rFonts w:hint="default"/>
        </w:rPr>
      </w:pPr>
      <w:r>
        <w:t>五、与</w:t>
      </w:r>
      <w:r>
        <w:rPr>
          <w:lang w:eastAsia="zh-CN"/>
        </w:rPr>
        <w:t>采购人</w:t>
      </w:r>
      <w:r>
        <w:t>、其他投标人恶意串通；</w:t>
      </w:r>
    </w:p>
    <w:p w14:paraId="3D55E8D4">
      <w:pPr>
        <w:pStyle w:val="12"/>
        <w:ind w:firstLine="480"/>
        <w:rPr>
          <w:rFonts w:hint="default"/>
        </w:rPr>
      </w:pPr>
      <w:r>
        <w:t>六、向</w:t>
      </w:r>
      <w:r>
        <w:rPr>
          <w:lang w:eastAsia="zh-CN"/>
        </w:rPr>
        <w:t>采购人</w:t>
      </w:r>
      <w:r>
        <w:t>、评标委员会成员行贿或者提供其他不正当利益；</w:t>
      </w:r>
    </w:p>
    <w:p w14:paraId="18B6CDA6">
      <w:pPr>
        <w:pStyle w:val="12"/>
        <w:ind w:firstLine="480"/>
        <w:rPr>
          <w:rFonts w:hint="default"/>
        </w:rPr>
      </w:pPr>
      <w:r>
        <w:t>七、在招标过程中与</w:t>
      </w:r>
      <w:r>
        <w:rPr>
          <w:lang w:eastAsia="zh-CN"/>
        </w:rPr>
        <w:t>采购人</w:t>
      </w:r>
      <w:r>
        <w:t>进行协商谈判；</w:t>
      </w:r>
    </w:p>
    <w:p w14:paraId="777AA3CE">
      <w:pPr>
        <w:pStyle w:val="12"/>
        <w:ind w:firstLine="480"/>
        <w:rPr>
          <w:rFonts w:hint="default"/>
        </w:rPr>
      </w:pPr>
      <w:r>
        <w:t>八、中标后无正当理由拒不与采购人签订</w:t>
      </w:r>
      <w:r>
        <w:rPr>
          <w:lang w:eastAsia="zh-CN"/>
        </w:rPr>
        <w:t>采购合同</w:t>
      </w:r>
      <w:r>
        <w:t>；</w:t>
      </w:r>
    </w:p>
    <w:p w14:paraId="7D114481">
      <w:pPr>
        <w:pStyle w:val="12"/>
        <w:ind w:firstLine="480"/>
        <w:rPr>
          <w:rFonts w:hint="default"/>
        </w:rPr>
      </w:pPr>
      <w:r>
        <w:t>九、未按照招标文件确定的事项签订</w:t>
      </w:r>
      <w:r>
        <w:rPr>
          <w:lang w:eastAsia="zh-CN"/>
        </w:rPr>
        <w:t>采购合同</w:t>
      </w:r>
      <w:r>
        <w:t>；</w:t>
      </w:r>
    </w:p>
    <w:p w14:paraId="5AAE6DBF">
      <w:pPr>
        <w:pStyle w:val="12"/>
        <w:ind w:firstLine="480"/>
        <w:rPr>
          <w:rFonts w:hint="default"/>
        </w:rPr>
      </w:pPr>
      <w:r>
        <w:t>十、将</w:t>
      </w:r>
      <w:r>
        <w:rPr>
          <w:lang w:eastAsia="zh-CN"/>
        </w:rPr>
        <w:t>采购合同</w:t>
      </w:r>
      <w:r>
        <w:t>转包或者违规分包；</w:t>
      </w:r>
    </w:p>
    <w:p w14:paraId="236ECA1C">
      <w:pPr>
        <w:pStyle w:val="12"/>
        <w:ind w:firstLine="480"/>
        <w:rPr>
          <w:rFonts w:hint="default"/>
        </w:rPr>
      </w:pPr>
      <w:r>
        <w:t>十一、提供假冒伪劣产品；</w:t>
      </w:r>
    </w:p>
    <w:p w14:paraId="4C67E88D">
      <w:pPr>
        <w:pStyle w:val="12"/>
        <w:ind w:firstLine="480"/>
        <w:rPr>
          <w:rFonts w:hint="default"/>
        </w:rPr>
      </w:pPr>
      <w:r>
        <w:t>十二、擅自变更、中止或者终止</w:t>
      </w:r>
      <w:r>
        <w:rPr>
          <w:lang w:eastAsia="zh-CN"/>
        </w:rPr>
        <w:t>采购合同</w:t>
      </w:r>
      <w:r>
        <w:t>；</w:t>
      </w:r>
    </w:p>
    <w:p w14:paraId="29B4C719">
      <w:pPr>
        <w:pStyle w:val="12"/>
        <w:ind w:firstLine="480"/>
        <w:rPr>
          <w:rFonts w:hint="default"/>
        </w:rPr>
      </w:pPr>
      <w:r>
        <w:t>十三、拒绝有关部门的监督检查或者向监督检查部门提供虚假情况；</w:t>
      </w:r>
    </w:p>
    <w:p w14:paraId="68CB4C64">
      <w:pPr>
        <w:pStyle w:val="12"/>
        <w:ind w:firstLine="480"/>
        <w:rPr>
          <w:rFonts w:hint="default"/>
        </w:rPr>
      </w:pPr>
      <w:r>
        <w:t>十四、法律法规规定的其他禁止情形。</w:t>
      </w:r>
    </w:p>
    <w:p w14:paraId="57FE1B98">
      <w:pPr>
        <w:pStyle w:val="12"/>
        <w:ind w:firstLine="480"/>
        <w:rPr>
          <w:rFonts w:hint="default"/>
        </w:rPr>
      </w:pPr>
      <w:r>
        <w:t>投标人有前述第一至七条情形的，认定其投标无效；中标人有前述第二至七条情形之一的，认定中标无效。此外，将按照规定追究投标人法律责任。</w:t>
      </w:r>
    </w:p>
    <w:p w14:paraId="526F9112">
      <w:pPr>
        <w:pStyle w:val="12"/>
        <w:outlineLvl w:val="3"/>
        <w:rPr>
          <w:rFonts w:hint="default"/>
        </w:rPr>
      </w:pPr>
      <w:r>
        <w:rPr>
          <w:b/>
          <w:sz w:val="24"/>
        </w:rPr>
        <w:t>2.7.3.采购人员及相关人员回避要求</w:t>
      </w:r>
    </w:p>
    <w:p w14:paraId="111CA85E">
      <w:pPr>
        <w:pStyle w:val="12"/>
        <w:ind w:firstLine="480"/>
        <w:rPr>
          <w:rFonts w:hint="default"/>
        </w:rPr>
      </w:pPr>
      <w:r>
        <w:t>采购活动中，采购人员及相关人员与投标人有下列利害关系之一的，应当回避：</w:t>
      </w:r>
    </w:p>
    <w:p w14:paraId="39D5DFE4">
      <w:pPr>
        <w:pStyle w:val="12"/>
        <w:ind w:firstLine="480"/>
        <w:rPr>
          <w:rFonts w:hint="default"/>
        </w:rPr>
      </w:pPr>
      <w:r>
        <w:t>一、参加采购活动前3年内与投标人存在劳动关系；</w:t>
      </w:r>
    </w:p>
    <w:p w14:paraId="10F544EA">
      <w:pPr>
        <w:pStyle w:val="12"/>
        <w:ind w:firstLine="480"/>
        <w:rPr>
          <w:rFonts w:hint="default"/>
        </w:rPr>
      </w:pPr>
      <w:r>
        <w:t>二、参加采购活动前3年内担任投标人的董事、监事；</w:t>
      </w:r>
    </w:p>
    <w:p w14:paraId="4F78E6EE">
      <w:pPr>
        <w:pStyle w:val="12"/>
        <w:ind w:firstLine="480"/>
        <w:rPr>
          <w:rFonts w:hint="default"/>
        </w:rPr>
      </w:pPr>
      <w:r>
        <w:t>三、参加采购活动前3年内是投标人的控股股东或者实际控制人；</w:t>
      </w:r>
    </w:p>
    <w:p w14:paraId="22925840">
      <w:pPr>
        <w:pStyle w:val="12"/>
        <w:ind w:firstLine="480"/>
        <w:rPr>
          <w:rFonts w:hint="default"/>
        </w:rPr>
      </w:pPr>
      <w:r>
        <w:t>四、与投标人的法定代表人或者负责人有夫妻、直系血亲、三代以内旁系血亲或者近姻亲关系；</w:t>
      </w:r>
    </w:p>
    <w:p w14:paraId="4C6D34AE">
      <w:pPr>
        <w:pStyle w:val="12"/>
        <w:ind w:firstLine="480"/>
        <w:rPr>
          <w:rFonts w:hint="default"/>
        </w:rPr>
      </w:pPr>
      <w:r>
        <w:t>五、与投标人有其他可能影响政府采购活动公平、公正进行的关系。</w:t>
      </w:r>
    </w:p>
    <w:p w14:paraId="17128D3A">
      <w:pPr>
        <w:pStyle w:val="12"/>
        <w:ind w:firstLine="480"/>
        <w:rPr>
          <w:rFonts w:hint="default"/>
        </w:rPr>
      </w:pPr>
      <w:r>
        <w:t>投标人认为采购人员及相关人员与其他投标人有利害关系的，可以向</w:t>
      </w:r>
      <w:r>
        <w:rPr>
          <w:lang w:eastAsia="zh-CN"/>
        </w:rPr>
        <w:t>采购人</w:t>
      </w:r>
      <w:r>
        <w:t>书面提出回避申请，并说明理由。</w:t>
      </w:r>
      <w:r>
        <w:rPr>
          <w:lang w:eastAsia="zh-CN"/>
        </w:rPr>
        <w:t>采购人</w:t>
      </w:r>
      <w:r>
        <w:t>应及时询问被申请回避人员，有利害关系的被申请回避人员应当回避。</w:t>
      </w:r>
    </w:p>
    <w:p w14:paraId="47B0643D">
      <w:pPr>
        <w:pStyle w:val="12"/>
        <w:outlineLvl w:val="2"/>
        <w:rPr>
          <w:rFonts w:hint="default"/>
        </w:rPr>
      </w:pPr>
      <w:r>
        <w:rPr>
          <w:b/>
          <w:sz w:val="28"/>
        </w:rPr>
        <w:t>2.8.询问、质疑和投诉</w:t>
      </w:r>
    </w:p>
    <w:p w14:paraId="7721DB1E">
      <w:pPr>
        <w:pStyle w:val="12"/>
        <w:ind w:firstLine="480"/>
        <w:rPr>
          <w:rFonts w:hint="default"/>
        </w:rPr>
      </w:pPr>
      <w:r>
        <w:t>一、询问、质疑、投诉的接收和处理严格按照《中华人民共和国政府采购法》《中华人民共和国政府采购法实施条例》《政府采购质疑和投诉办法》等规定办理。</w:t>
      </w:r>
    </w:p>
    <w:p w14:paraId="17521305">
      <w:pPr>
        <w:pStyle w:val="12"/>
        <w:ind w:firstLine="480"/>
        <w:rPr>
          <w:rFonts w:hint="default"/>
        </w:rPr>
      </w:pPr>
      <w:r>
        <w:t>二、投标人询问、质疑的答复主体：</w:t>
      </w:r>
    </w:p>
    <w:p w14:paraId="0379ADCD">
      <w:pPr>
        <w:pStyle w:val="12"/>
        <w:ind w:firstLine="480"/>
        <w:rPr>
          <w:rFonts w:hint="default"/>
        </w:rPr>
      </w:pPr>
      <w:r>
        <w:t>投标人对招标文件中采购需求</w:t>
      </w:r>
      <w:r>
        <w:rPr>
          <w:lang w:eastAsia="zh-CN"/>
        </w:rPr>
        <w:t>、</w:t>
      </w:r>
      <w:r>
        <w:t>采购过程、采购结果的询问、质疑由</w:t>
      </w:r>
      <w:r>
        <w:rPr>
          <w:lang w:eastAsia="zh-CN"/>
        </w:rPr>
        <w:t>邻水县人民医院</w:t>
      </w:r>
      <w:r>
        <w:t xml:space="preserve"> 负责答复。</w:t>
      </w:r>
    </w:p>
    <w:p w14:paraId="7EAAC56F">
      <w:pPr>
        <w:pStyle w:val="12"/>
        <w:ind w:firstLine="480"/>
        <w:rPr>
          <w:rFonts w:hint="default"/>
        </w:rPr>
      </w:pPr>
      <w:r>
        <w:t>三、投标人提出的询问，应当明确询问事项，如以书面形式提出的，应由投标人签字并加盖公章。</w:t>
      </w:r>
    </w:p>
    <w:p w14:paraId="6E36C1CA">
      <w:pPr>
        <w:pStyle w:val="12"/>
        <w:ind w:firstLine="480"/>
        <w:rPr>
          <w:rFonts w:hint="default"/>
        </w:rPr>
      </w:pPr>
      <w:r>
        <w:t>四、投标人认为招标文件、采购过程、中标结果使自己的权益受到损害的，可以在知道或者应知其权益受到损害之日起7个工作日内，以书面形式向</w:t>
      </w:r>
      <w:r>
        <w:rPr>
          <w:lang w:eastAsia="zh-CN"/>
        </w:rPr>
        <w:t>采购人</w:t>
      </w:r>
      <w:r>
        <w:t>提出质疑。投标人应在法定质疑期内一次性提出针对同一采购程序环节的质疑。投标人应知其权益受到损害之日，是指：</w:t>
      </w:r>
    </w:p>
    <w:p w14:paraId="52770DE1">
      <w:pPr>
        <w:pStyle w:val="12"/>
        <w:ind w:firstLine="480"/>
        <w:rPr>
          <w:rFonts w:hint="default"/>
        </w:rPr>
      </w:pPr>
      <w:r>
        <w:t>（一）对可以质疑的招标文件提出质疑的，为收到招标文件之日或者招标文件公告期限届满之日；</w:t>
      </w:r>
    </w:p>
    <w:p w14:paraId="31ED2FC4">
      <w:pPr>
        <w:pStyle w:val="12"/>
        <w:ind w:firstLine="480"/>
        <w:rPr>
          <w:rFonts w:hint="default"/>
        </w:rPr>
      </w:pPr>
      <w:r>
        <w:t>（二）对采购过程提出质疑的，为各采购程序环节结束之日；</w:t>
      </w:r>
    </w:p>
    <w:p w14:paraId="02516868">
      <w:pPr>
        <w:pStyle w:val="12"/>
        <w:ind w:firstLine="480"/>
        <w:rPr>
          <w:rFonts w:hint="default"/>
        </w:rPr>
      </w:pPr>
      <w:r>
        <w:t>（三）对中标结果提出质疑的，为中标结果公告期限届满之日。</w:t>
      </w:r>
    </w:p>
    <w:p w14:paraId="26ACC9ED">
      <w:pPr>
        <w:pStyle w:val="12"/>
        <w:ind w:firstLine="480"/>
        <w:rPr>
          <w:rFonts w:hint="default"/>
        </w:rPr>
      </w:pPr>
      <w:r>
        <w:t>五、投标人通过书面形式向</w:t>
      </w:r>
      <w:r>
        <w:rPr>
          <w:lang w:eastAsia="zh-CN"/>
        </w:rPr>
        <w:t>采购人</w:t>
      </w:r>
      <w:r>
        <w:t>提交质疑资料。</w:t>
      </w:r>
    </w:p>
    <w:p w14:paraId="48107C5A">
      <w:pPr>
        <w:pStyle w:val="12"/>
        <w:ind w:firstLine="480"/>
        <w:rPr>
          <w:rFonts w:hint="default"/>
        </w:rPr>
      </w:pPr>
      <w:r>
        <w:t>六、投标人提出质疑时应当准备的资料</w:t>
      </w:r>
    </w:p>
    <w:p w14:paraId="4FFBE580">
      <w:pPr>
        <w:pStyle w:val="12"/>
        <w:ind w:firstLine="480"/>
        <w:rPr>
          <w:rFonts w:hint="default"/>
        </w:rPr>
      </w:pPr>
      <w:r>
        <w:t>（一）质疑函正本1份；（政府采购投标人质疑函范本可在</w:t>
      </w:r>
      <w:r>
        <w:rPr>
          <w:lang w:eastAsia="zh-CN"/>
        </w:rPr>
        <w:t>四川政府采购网</w:t>
      </w:r>
      <w:r>
        <w:t>下载专区下载）</w:t>
      </w:r>
    </w:p>
    <w:p w14:paraId="7382113D">
      <w:pPr>
        <w:pStyle w:val="12"/>
        <w:ind w:firstLine="480"/>
        <w:rPr>
          <w:rFonts w:hint="default"/>
        </w:rPr>
      </w:pPr>
      <w:r>
        <w:t>（二）法定代表人或主要负责人授权委托书1份（委托代理人办理质疑事宜的需提供）；</w:t>
      </w:r>
    </w:p>
    <w:p w14:paraId="33CB1C41">
      <w:pPr>
        <w:pStyle w:val="12"/>
        <w:ind w:firstLine="480"/>
        <w:rPr>
          <w:rFonts w:hint="default"/>
        </w:rPr>
      </w:pPr>
      <w:r>
        <w:t>（三）法定代表人或主要负责人身份证复印件1份；</w:t>
      </w:r>
    </w:p>
    <w:p w14:paraId="366B55A7">
      <w:pPr>
        <w:pStyle w:val="12"/>
        <w:ind w:firstLine="480"/>
        <w:rPr>
          <w:rFonts w:hint="default"/>
        </w:rPr>
      </w:pPr>
      <w:r>
        <w:t>（四）委托代理人身份证复印件1份（委托代理人办理质疑事宜的需提供）；</w:t>
      </w:r>
    </w:p>
    <w:p w14:paraId="15A4FB2F">
      <w:pPr>
        <w:pStyle w:val="12"/>
        <w:ind w:firstLine="480"/>
        <w:rPr>
          <w:rFonts w:hint="default"/>
        </w:rPr>
      </w:pPr>
      <w:r>
        <w:t>（五）针对质疑事项必要的证明材料。</w:t>
      </w:r>
    </w:p>
    <w:p w14:paraId="0EA46BE1">
      <w:pPr>
        <w:pStyle w:val="12"/>
        <w:ind w:firstLine="480"/>
        <w:rPr>
          <w:rFonts w:hint="default"/>
        </w:rPr>
      </w:pPr>
      <w:r>
        <w:t>注：根据《中华人民共和国政府采购法》的规定，投标人质疑不得超出招标文件、采购过程、采购结果的范围。</w:t>
      </w:r>
    </w:p>
    <w:p w14:paraId="001AA74C">
      <w:pPr>
        <w:pStyle w:val="12"/>
        <w:ind w:firstLine="480"/>
        <w:rPr>
          <w:rFonts w:hint="default"/>
        </w:rPr>
      </w:pPr>
      <w:r>
        <w:t>七、投标人对</w:t>
      </w:r>
      <w:r>
        <w:rPr>
          <w:lang w:eastAsia="zh-CN"/>
        </w:rPr>
        <w:t>采购人</w:t>
      </w:r>
      <w:r>
        <w:t>的质疑答复不满意、</w:t>
      </w:r>
      <w:r>
        <w:rPr>
          <w:lang w:eastAsia="zh-CN"/>
        </w:rPr>
        <w:t>采购人</w:t>
      </w:r>
      <w:r>
        <w:t>未在规定期限内作出答复的，投标人可以在答复期满后15个工作日内向同级财政部门提起投诉。</w:t>
      </w:r>
    </w:p>
    <w:p w14:paraId="563EEB32">
      <w:pPr>
        <w:pStyle w:val="12"/>
        <w:outlineLvl w:val="2"/>
        <w:rPr>
          <w:rFonts w:hint="default"/>
        </w:rPr>
      </w:pPr>
      <w:r>
        <w:rPr>
          <w:b/>
          <w:sz w:val="28"/>
        </w:rPr>
        <w:t>2.</w:t>
      </w:r>
      <w:r>
        <w:rPr>
          <w:rFonts w:hint="eastAsia"/>
          <w:b/>
          <w:sz w:val="28"/>
          <w:lang w:val="en-US" w:eastAsia="zh-CN"/>
        </w:rPr>
        <w:t>9</w:t>
      </w:r>
      <w:r>
        <w:rPr>
          <w:b/>
          <w:sz w:val="28"/>
        </w:rPr>
        <w:t>.样品评审</w:t>
      </w:r>
    </w:p>
    <w:p w14:paraId="3689A003">
      <w:pPr>
        <w:pStyle w:val="12"/>
        <w:ind w:firstLine="480"/>
        <w:rPr>
          <w:rFonts w:hint="default"/>
        </w:rPr>
      </w:pPr>
      <w:r>
        <w:t>不需要样品评审。</w:t>
      </w:r>
    </w:p>
    <w:p w14:paraId="75BFB5C3">
      <w:pPr>
        <w:pStyle w:val="12"/>
        <w:rPr>
          <w:rFonts w:hint="default"/>
        </w:rPr>
      </w:pPr>
      <w:r>
        <w:t xml:space="preserve"> </w:t>
      </w:r>
      <w:r>
        <w:br w:type="textWrapping"/>
      </w:r>
      <w:r>
        <w:br w:type="page"/>
      </w:r>
    </w:p>
    <w:p w14:paraId="5C84F02E">
      <w:pPr>
        <w:pStyle w:val="12"/>
        <w:jc w:val="center"/>
        <w:outlineLvl w:val="1"/>
        <w:rPr>
          <w:rFonts w:hint="default"/>
        </w:rPr>
      </w:pPr>
      <w:r>
        <w:rPr>
          <w:b/>
          <w:sz w:val="36"/>
        </w:rPr>
        <w:t>第三章 技术、服务及其他要求</w:t>
      </w:r>
    </w:p>
    <w:p w14:paraId="30548977">
      <w:pPr>
        <w:pStyle w:val="12"/>
        <w:outlineLvl w:val="2"/>
        <w:rPr>
          <w:rFonts w:hint="default"/>
          <w:b/>
          <w:sz w:val="28"/>
        </w:rPr>
      </w:pPr>
      <w:r>
        <w:rPr>
          <w:b/>
          <w:sz w:val="28"/>
        </w:rPr>
        <w:t>3.1</w:t>
      </w:r>
      <w:r>
        <w:rPr>
          <w:b/>
          <w:sz w:val="28"/>
          <w:lang w:eastAsia="zh-CN"/>
        </w:rPr>
        <w:t xml:space="preserve"> </w:t>
      </w:r>
      <w:r>
        <w:rPr>
          <w:b/>
          <w:sz w:val="28"/>
        </w:rPr>
        <w:t>采购内容</w:t>
      </w:r>
      <w:r>
        <w:rPr>
          <w:b/>
          <w:sz w:val="24"/>
        </w:rPr>
        <w:t>★</w:t>
      </w:r>
    </w:p>
    <w:p w14:paraId="6FAD3A5F">
      <w:pPr>
        <w:pStyle w:val="12"/>
        <w:outlineLvl w:val="2"/>
        <w:rPr>
          <w:rFonts w:hint="default"/>
        </w:rPr>
      </w:pPr>
    </w:p>
    <w:p w14:paraId="77FBC25D">
      <w:pPr>
        <w:pStyle w:val="12"/>
        <w:outlineLvl w:val="2"/>
        <w:rPr>
          <w:rFonts w:hint="default"/>
        </w:rPr>
      </w:pPr>
      <w:r>
        <w:t>采购包最</w:t>
      </w:r>
      <w:r>
        <w:rPr>
          <w:lang w:eastAsia="zh-CN"/>
        </w:rPr>
        <w:t>低</w:t>
      </w:r>
      <w:r>
        <w:t xml:space="preserve">限价（元）: </w:t>
      </w:r>
      <w:r>
        <w:rPr>
          <w:lang w:eastAsia="zh-CN"/>
        </w:rPr>
        <w:t>24</w:t>
      </w:r>
      <w:r>
        <w:t>0000.00</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4"/>
        <w:gridCol w:w="1450"/>
        <w:gridCol w:w="1675"/>
        <w:gridCol w:w="1625"/>
        <w:gridCol w:w="1312"/>
        <w:gridCol w:w="1138"/>
        <w:gridCol w:w="962"/>
      </w:tblGrid>
      <w:tr w14:paraId="5FCEC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3" w:hRule="atLeast"/>
        </w:trPr>
        <w:tc>
          <w:tcPr>
            <w:tcW w:w="684" w:type="dxa"/>
            <w:vAlign w:val="center"/>
          </w:tcPr>
          <w:p w14:paraId="43A0FB0C">
            <w:pPr>
              <w:pStyle w:val="12"/>
              <w:jc w:val="center"/>
              <w:rPr>
                <w:rFonts w:hint="default"/>
              </w:rPr>
            </w:pPr>
            <w:r>
              <w:t>序号</w:t>
            </w:r>
          </w:p>
        </w:tc>
        <w:tc>
          <w:tcPr>
            <w:tcW w:w="1450" w:type="dxa"/>
            <w:vAlign w:val="center"/>
          </w:tcPr>
          <w:p w14:paraId="6B1E54CD">
            <w:pPr>
              <w:pStyle w:val="12"/>
              <w:jc w:val="center"/>
              <w:rPr>
                <w:rFonts w:hint="default"/>
              </w:rPr>
            </w:pPr>
            <w:r>
              <w:t>采购品目名称</w:t>
            </w:r>
          </w:p>
        </w:tc>
        <w:tc>
          <w:tcPr>
            <w:tcW w:w="1675" w:type="dxa"/>
            <w:vAlign w:val="center"/>
          </w:tcPr>
          <w:p w14:paraId="41EC11A8">
            <w:pPr>
              <w:pStyle w:val="12"/>
              <w:jc w:val="center"/>
              <w:rPr>
                <w:rFonts w:hint="default"/>
              </w:rPr>
            </w:pPr>
            <w:r>
              <w:t>标的名称</w:t>
            </w:r>
          </w:p>
        </w:tc>
        <w:tc>
          <w:tcPr>
            <w:tcW w:w="1625" w:type="dxa"/>
            <w:vAlign w:val="center"/>
          </w:tcPr>
          <w:p w14:paraId="3B75129E">
            <w:pPr>
              <w:pStyle w:val="12"/>
              <w:jc w:val="center"/>
              <w:rPr>
                <w:rFonts w:hint="eastAsia"/>
                <w:lang w:eastAsia="zh-CN"/>
              </w:rPr>
            </w:pPr>
            <w:r>
              <w:rPr>
                <w:rFonts w:hint="eastAsia"/>
                <w:lang w:eastAsia="zh-CN"/>
              </w:rPr>
              <w:t>服务期限</w:t>
            </w:r>
          </w:p>
          <w:p w14:paraId="057BAC35">
            <w:pPr>
              <w:pStyle w:val="12"/>
              <w:jc w:val="center"/>
              <w:rPr>
                <w:rFonts w:hint="default"/>
              </w:rPr>
            </w:pPr>
            <w:r>
              <w:t>(计量单位)</w:t>
            </w:r>
          </w:p>
        </w:tc>
        <w:tc>
          <w:tcPr>
            <w:tcW w:w="1312" w:type="dxa"/>
            <w:vAlign w:val="center"/>
          </w:tcPr>
          <w:p w14:paraId="359A1FF8">
            <w:pPr>
              <w:pStyle w:val="12"/>
              <w:jc w:val="center"/>
              <w:rPr>
                <w:rFonts w:hint="default"/>
              </w:rPr>
            </w:pPr>
            <w:r>
              <w:t>标的金额 （元）</w:t>
            </w:r>
          </w:p>
        </w:tc>
        <w:tc>
          <w:tcPr>
            <w:tcW w:w="1138" w:type="dxa"/>
            <w:vAlign w:val="center"/>
          </w:tcPr>
          <w:p w14:paraId="4F29E139">
            <w:pPr>
              <w:pStyle w:val="12"/>
              <w:jc w:val="center"/>
              <w:rPr>
                <w:rFonts w:hint="default"/>
              </w:rPr>
            </w:pPr>
            <w:r>
              <w:t>所属行业</w:t>
            </w:r>
          </w:p>
        </w:tc>
        <w:tc>
          <w:tcPr>
            <w:tcW w:w="962" w:type="dxa"/>
            <w:vAlign w:val="center"/>
          </w:tcPr>
          <w:p w14:paraId="7E5B228C">
            <w:pPr>
              <w:pStyle w:val="12"/>
              <w:jc w:val="center"/>
              <w:rPr>
                <w:rFonts w:hint="default"/>
                <w:lang w:eastAsia="zh-CN"/>
              </w:rPr>
            </w:pPr>
            <w:r>
              <w:rPr>
                <w:lang w:eastAsia="zh-CN"/>
              </w:rPr>
              <w:t>备注</w:t>
            </w:r>
          </w:p>
        </w:tc>
      </w:tr>
      <w:tr w14:paraId="1B4CD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684" w:type="dxa"/>
            <w:vAlign w:val="center"/>
          </w:tcPr>
          <w:p w14:paraId="70953DB5">
            <w:pPr>
              <w:pStyle w:val="12"/>
              <w:jc w:val="center"/>
              <w:rPr>
                <w:rFonts w:hint="default"/>
              </w:rPr>
            </w:pPr>
            <w:r>
              <w:t>1</w:t>
            </w:r>
          </w:p>
        </w:tc>
        <w:tc>
          <w:tcPr>
            <w:tcW w:w="1450" w:type="dxa"/>
            <w:vAlign w:val="center"/>
          </w:tcPr>
          <w:p w14:paraId="6E0F5B45">
            <w:pPr>
              <w:pStyle w:val="12"/>
              <w:jc w:val="center"/>
              <w:rPr>
                <w:rFonts w:hint="default"/>
              </w:rPr>
            </w:pPr>
            <w:r>
              <w:t>餐饮服务</w:t>
            </w:r>
          </w:p>
        </w:tc>
        <w:tc>
          <w:tcPr>
            <w:tcW w:w="1675" w:type="dxa"/>
            <w:vAlign w:val="center"/>
          </w:tcPr>
          <w:p w14:paraId="32F162A6">
            <w:pPr>
              <w:pStyle w:val="12"/>
              <w:jc w:val="center"/>
              <w:rPr>
                <w:rFonts w:hint="default"/>
              </w:rPr>
            </w:pPr>
            <w:r>
              <w:t>食堂</w:t>
            </w:r>
            <w:r>
              <w:rPr>
                <w:lang w:eastAsia="zh-CN"/>
              </w:rPr>
              <w:t>外包</w:t>
            </w:r>
            <w:r>
              <w:t>服务</w:t>
            </w:r>
          </w:p>
        </w:tc>
        <w:tc>
          <w:tcPr>
            <w:tcW w:w="1625" w:type="dxa"/>
            <w:vAlign w:val="center"/>
          </w:tcPr>
          <w:p w14:paraId="2E3F89B2">
            <w:pPr>
              <w:pStyle w:val="12"/>
              <w:jc w:val="center"/>
              <w:rPr>
                <w:rFonts w:hint="default"/>
              </w:rPr>
            </w:pPr>
            <w:r>
              <w:rPr>
                <w:rFonts w:hint="eastAsia"/>
                <w:lang w:val="en-US" w:eastAsia="zh-CN"/>
              </w:rPr>
              <w:t>2</w:t>
            </w:r>
            <w:r>
              <w:t>（</w:t>
            </w:r>
            <w:r>
              <w:rPr>
                <w:rFonts w:hint="eastAsia"/>
                <w:lang w:eastAsia="zh-CN"/>
              </w:rPr>
              <w:t>年</w:t>
            </w:r>
            <w:r>
              <w:t>）</w:t>
            </w:r>
          </w:p>
        </w:tc>
        <w:tc>
          <w:tcPr>
            <w:tcW w:w="1312" w:type="dxa"/>
            <w:vAlign w:val="center"/>
          </w:tcPr>
          <w:p w14:paraId="05D4447B">
            <w:pPr>
              <w:pStyle w:val="12"/>
              <w:jc w:val="center"/>
              <w:rPr>
                <w:rFonts w:hint="default"/>
              </w:rPr>
            </w:pPr>
            <w:r>
              <w:rPr>
                <w:lang w:eastAsia="zh-CN"/>
              </w:rPr>
              <w:t>240</w:t>
            </w:r>
            <w:r>
              <w:t>000.00</w:t>
            </w:r>
          </w:p>
        </w:tc>
        <w:tc>
          <w:tcPr>
            <w:tcW w:w="1138" w:type="dxa"/>
            <w:vAlign w:val="center"/>
          </w:tcPr>
          <w:p w14:paraId="43F119C0">
            <w:pPr>
              <w:pStyle w:val="12"/>
              <w:jc w:val="center"/>
              <w:rPr>
                <w:rFonts w:hint="default"/>
              </w:rPr>
            </w:pPr>
            <w:r>
              <w:t>餐饮业</w:t>
            </w:r>
          </w:p>
        </w:tc>
        <w:tc>
          <w:tcPr>
            <w:tcW w:w="962" w:type="dxa"/>
            <w:vAlign w:val="center"/>
          </w:tcPr>
          <w:p w14:paraId="26479529">
            <w:pPr>
              <w:pStyle w:val="12"/>
              <w:jc w:val="center"/>
              <w:rPr>
                <w:rFonts w:hint="default"/>
                <w:lang w:eastAsia="zh-CN"/>
              </w:rPr>
            </w:pPr>
          </w:p>
        </w:tc>
      </w:tr>
    </w:tbl>
    <w:p w14:paraId="421EB88D">
      <w:pPr>
        <w:pStyle w:val="12"/>
        <w:ind w:firstLine="480"/>
        <w:rPr>
          <w:rFonts w:hint="default"/>
        </w:rPr>
      </w:pPr>
    </w:p>
    <w:p w14:paraId="5CFCB039">
      <w:pPr>
        <w:pStyle w:val="12"/>
        <w:outlineLvl w:val="2"/>
        <w:rPr>
          <w:rFonts w:hint="default"/>
          <w:b/>
          <w:sz w:val="28"/>
        </w:rPr>
      </w:pPr>
      <w:r>
        <w:rPr>
          <w:b/>
          <w:sz w:val="28"/>
        </w:rPr>
        <w:t>3.2</w:t>
      </w:r>
      <w:r>
        <w:rPr>
          <w:b/>
          <w:sz w:val="28"/>
          <w:lang w:eastAsia="zh-CN"/>
        </w:rPr>
        <w:t xml:space="preserve"> </w:t>
      </w:r>
      <w:r>
        <w:rPr>
          <w:b/>
          <w:sz w:val="28"/>
        </w:rPr>
        <w:t>技术要求</w:t>
      </w:r>
      <w:r>
        <w:rPr>
          <w:b/>
          <w:sz w:val="24"/>
        </w:rPr>
        <w:t>★</w:t>
      </w:r>
    </w:p>
    <w:p w14:paraId="66951207">
      <w:pPr>
        <w:pStyle w:val="12"/>
        <w:ind w:firstLine="482" w:firstLineChars="200"/>
        <w:jc w:val="both"/>
        <w:rPr>
          <w:rFonts w:hint="default" w:ascii="仿宋" w:hAnsi="仿宋" w:eastAsia="仿宋" w:cs="仿宋"/>
          <w:b/>
          <w:sz w:val="24"/>
        </w:rPr>
      </w:pPr>
      <w:r>
        <w:rPr>
          <w:rFonts w:ascii="宋体" w:hAnsi="宋体" w:eastAsia="宋体" w:cs="宋体"/>
          <w:b/>
          <w:sz w:val="24"/>
        </w:rPr>
        <w:t>一</w:t>
      </w:r>
      <w:r>
        <w:rPr>
          <w:rFonts w:hint="eastAsia" w:ascii="宋体" w:hAnsi="宋体" w:eastAsia="宋体" w:cs="宋体"/>
          <w:b/>
          <w:sz w:val="24"/>
          <w:lang w:eastAsia="zh-CN"/>
        </w:rPr>
        <w:t>、</w:t>
      </w:r>
      <w:r>
        <w:rPr>
          <w:rFonts w:ascii="宋体" w:hAnsi="宋体" w:eastAsia="宋体" w:cs="宋体"/>
          <w:b/>
          <w:sz w:val="24"/>
        </w:rPr>
        <w:t>项目概况：</w:t>
      </w:r>
      <w:r>
        <w:rPr>
          <w:rFonts w:ascii="宋体" w:hAnsi="宋体" w:eastAsia="宋体" w:cs="宋体"/>
          <w:sz w:val="24"/>
          <w:lang w:eastAsia="zh-CN"/>
        </w:rPr>
        <w:t>邻水县人民医院</w:t>
      </w:r>
      <w:r>
        <w:rPr>
          <w:rFonts w:hint="default" w:ascii="宋体" w:hAnsi="宋体" w:eastAsia="宋体" w:cs="宋体"/>
          <w:sz w:val="24"/>
          <w:lang w:eastAsia="zh-CN"/>
        </w:rPr>
        <w:t>医院食堂就餐人员每天约</w:t>
      </w:r>
      <w:r>
        <w:rPr>
          <w:rFonts w:ascii="宋体" w:hAnsi="宋体" w:eastAsia="宋体" w:cs="宋体"/>
          <w:sz w:val="24"/>
          <w:lang w:eastAsia="zh-CN"/>
        </w:rPr>
        <w:t>3</w:t>
      </w:r>
      <w:r>
        <w:rPr>
          <w:rFonts w:hint="default" w:ascii="宋体" w:hAnsi="宋体" w:eastAsia="宋体" w:cs="宋体"/>
          <w:sz w:val="24"/>
          <w:lang w:eastAsia="zh-CN"/>
        </w:rPr>
        <w:t>00人，食堂面积约300㎡，可容纳近100人就餐。医院提供食堂</w:t>
      </w:r>
      <w:r>
        <w:rPr>
          <w:rFonts w:ascii="宋体" w:hAnsi="宋体" w:eastAsia="宋体" w:cs="宋体"/>
          <w:sz w:val="24"/>
          <w:lang w:eastAsia="zh-CN"/>
        </w:rPr>
        <w:t>主要电器、灶具、餐具等</w:t>
      </w:r>
      <w:r>
        <w:rPr>
          <w:rFonts w:hint="default" w:ascii="宋体" w:hAnsi="宋体" w:eastAsia="宋体" w:cs="宋体"/>
          <w:sz w:val="24"/>
          <w:lang w:eastAsia="zh-CN"/>
        </w:rPr>
        <w:t>设施设备（服务期满按清单交还医院），中标人负责</w:t>
      </w:r>
      <w:r>
        <w:rPr>
          <w:rFonts w:ascii="宋体" w:hAnsi="宋体" w:eastAsia="宋体" w:cs="宋体"/>
          <w:sz w:val="24"/>
          <w:lang w:eastAsia="zh-CN"/>
        </w:rPr>
        <w:t>经营食堂满足医院</w:t>
      </w:r>
      <w:r>
        <w:rPr>
          <w:rFonts w:hint="default" w:ascii="宋体" w:hAnsi="宋体" w:eastAsia="宋体" w:cs="宋体"/>
          <w:sz w:val="24"/>
          <w:lang w:eastAsia="zh-CN"/>
        </w:rPr>
        <w:t>职工、病员</w:t>
      </w:r>
      <w:r>
        <w:rPr>
          <w:rFonts w:ascii="宋体" w:hAnsi="宋体" w:eastAsia="宋体" w:cs="宋体"/>
          <w:sz w:val="24"/>
          <w:lang w:eastAsia="zh-CN"/>
        </w:rPr>
        <w:t>及家属</w:t>
      </w:r>
      <w:r>
        <w:rPr>
          <w:rFonts w:hint="default" w:ascii="宋体" w:hAnsi="宋体" w:eastAsia="宋体" w:cs="宋体"/>
          <w:sz w:val="24"/>
          <w:lang w:eastAsia="zh-CN"/>
        </w:rPr>
        <w:t>用餐</w:t>
      </w:r>
      <w:r>
        <w:rPr>
          <w:rFonts w:ascii="宋体" w:hAnsi="宋体" w:eastAsia="宋体" w:cs="宋体"/>
          <w:sz w:val="24"/>
        </w:rPr>
        <w:t>。</w:t>
      </w:r>
    </w:p>
    <w:p w14:paraId="7FF3911B">
      <w:pPr>
        <w:pStyle w:val="12"/>
        <w:ind w:firstLine="482" w:firstLineChars="200"/>
        <w:rPr>
          <w:rFonts w:hint="default"/>
        </w:rPr>
      </w:pPr>
      <w:r>
        <w:rPr>
          <w:rFonts w:ascii="宋体" w:hAnsi="宋体" w:eastAsia="宋体" w:cs="宋体"/>
          <w:b/>
          <w:color w:val="000000"/>
          <w:sz w:val="24"/>
        </w:rPr>
        <w:t>二</w:t>
      </w:r>
      <w:r>
        <w:rPr>
          <w:rFonts w:hint="eastAsia" w:ascii="宋体" w:hAnsi="宋体" w:eastAsia="宋体" w:cs="宋体"/>
          <w:b/>
          <w:color w:val="000000"/>
          <w:sz w:val="24"/>
          <w:lang w:eastAsia="zh-CN"/>
        </w:rPr>
        <w:t>、</w:t>
      </w:r>
      <w:r>
        <w:rPr>
          <w:rFonts w:ascii="宋体" w:hAnsi="宋体" w:eastAsia="宋体" w:cs="宋体"/>
          <w:b/>
          <w:color w:val="000000"/>
          <w:sz w:val="24"/>
        </w:rPr>
        <w:t>服务内容</w:t>
      </w:r>
    </w:p>
    <w:p w14:paraId="1908F55D">
      <w:pPr>
        <w:pStyle w:val="12"/>
        <w:ind w:firstLine="480"/>
        <w:jc w:val="both"/>
        <w:rPr>
          <w:rFonts w:hint="default" w:eastAsia="宋体"/>
          <w:lang w:eastAsia="zh-CN"/>
        </w:rPr>
      </w:pPr>
      <w:r>
        <w:rPr>
          <w:rFonts w:ascii="宋体" w:hAnsi="宋体" w:eastAsia="宋体" w:cs="宋体"/>
          <w:sz w:val="24"/>
        </w:rPr>
        <w:t>1.</w:t>
      </w:r>
      <w:r>
        <w:rPr>
          <w:rFonts w:ascii="宋体" w:hAnsi="宋体" w:eastAsia="宋体" w:cs="宋体"/>
          <w:sz w:val="24"/>
          <w:lang w:eastAsia="zh-CN"/>
        </w:rPr>
        <w:t>提供</w:t>
      </w:r>
      <w:r>
        <w:rPr>
          <w:rFonts w:ascii="宋体" w:hAnsi="宋体" w:eastAsia="宋体" w:cs="宋体"/>
          <w:sz w:val="24"/>
        </w:rPr>
        <w:t>全院</w:t>
      </w:r>
      <w:r>
        <w:rPr>
          <w:rFonts w:ascii="宋体" w:hAnsi="宋体" w:eastAsia="宋体" w:cs="宋体"/>
          <w:sz w:val="24"/>
          <w:lang w:eastAsia="zh-CN"/>
        </w:rPr>
        <w:t>职工</w:t>
      </w:r>
      <w:r>
        <w:rPr>
          <w:rFonts w:ascii="宋体" w:hAnsi="宋体" w:eastAsia="宋体" w:cs="宋体"/>
          <w:sz w:val="24"/>
        </w:rPr>
        <w:t>、患者及家属</w:t>
      </w:r>
      <w:r>
        <w:rPr>
          <w:rFonts w:ascii="宋体" w:hAnsi="宋体" w:eastAsia="宋体" w:cs="宋体"/>
          <w:sz w:val="24"/>
          <w:lang w:eastAsia="zh-CN"/>
        </w:rPr>
        <w:t>日常用餐，提供医院会议、活动等接待用餐。</w:t>
      </w:r>
    </w:p>
    <w:p w14:paraId="57B65EB4">
      <w:pPr>
        <w:pStyle w:val="12"/>
        <w:ind w:firstLine="480"/>
        <w:jc w:val="both"/>
        <w:rPr>
          <w:rFonts w:hint="default"/>
        </w:rPr>
      </w:pPr>
      <w:r>
        <w:rPr>
          <w:rFonts w:ascii="宋体" w:hAnsi="宋体" w:eastAsia="宋体" w:cs="宋体"/>
          <w:sz w:val="24"/>
        </w:rPr>
        <w:t>2.提供点餐、自助餐、配送餐等多元化的就餐服务。</w:t>
      </w:r>
    </w:p>
    <w:p w14:paraId="5013BB77">
      <w:pPr>
        <w:pStyle w:val="12"/>
        <w:ind w:firstLine="480"/>
        <w:jc w:val="both"/>
        <w:rPr>
          <w:rFonts w:hint="default"/>
        </w:rPr>
      </w:pPr>
      <w:r>
        <w:rPr>
          <w:rFonts w:ascii="宋体" w:hAnsi="宋体" w:eastAsia="宋体" w:cs="宋体"/>
          <w:sz w:val="24"/>
        </w:rPr>
        <w:t>3.供餐服务时间：因医院工作特殊性，食堂须全年无休</w:t>
      </w:r>
      <w:r>
        <w:rPr>
          <w:rFonts w:ascii="宋体" w:hAnsi="宋体" w:eastAsia="宋体" w:cs="宋体"/>
          <w:sz w:val="24"/>
          <w:lang w:eastAsia="zh-CN"/>
        </w:rPr>
        <w:t>，</w:t>
      </w:r>
      <w:r>
        <w:rPr>
          <w:rFonts w:ascii="宋体" w:hAnsi="宋体" w:eastAsia="宋体" w:cs="宋体"/>
          <w:sz w:val="24"/>
        </w:rPr>
        <w:t>提供早餐、中餐、晚餐及临时性供餐</w:t>
      </w:r>
      <w:r>
        <w:rPr>
          <w:rFonts w:ascii="宋体" w:hAnsi="宋体" w:eastAsia="宋体" w:cs="宋体"/>
          <w:sz w:val="24"/>
          <w:lang w:eastAsia="zh-CN"/>
        </w:rPr>
        <w:t>服</w:t>
      </w:r>
      <w:r>
        <w:rPr>
          <w:rFonts w:ascii="宋体" w:hAnsi="宋体" w:eastAsia="宋体" w:cs="宋体"/>
          <w:sz w:val="24"/>
        </w:rPr>
        <w:t>务。</w:t>
      </w:r>
      <w:r>
        <w:rPr>
          <w:rFonts w:ascii="宋体" w:hAnsi="宋体" w:eastAsia="宋体" w:cs="宋体"/>
          <w:sz w:val="24"/>
          <w:lang w:eastAsia="zh-CN"/>
        </w:rPr>
        <w:t>供</w:t>
      </w:r>
      <w:r>
        <w:rPr>
          <w:rFonts w:ascii="宋体" w:hAnsi="宋体" w:eastAsia="宋体" w:cs="宋体"/>
          <w:sz w:val="24"/>
        </w:rPr>
        <w:t>餐时间：早餐7:00至9:00；</w:t>
      </w:r>
      <w:r>
        <w:rPr>
          <w:rFonts w:ascii="宋体" w:hAnsi="宋体" w:eastAsia="宋体" w:cs="宋体"/>
          <w:sz w:val="24"/>
          <w:lang w:eastAsia="zh-CN"/>
        </w:rPr>
        <w:t>中</w:t>
      </w:r>
      <w:r>
        <w:rPr>
          <w:rFonts w:ascii="宋体" w:hAnsi="宋体" w:eastAsia="宋体" w:cs="宋体"/>
          <w:sz w:val="24"/>
        </w:rPr>
        <w:t>餐11:</w:t>
      </w:r>
      <w:r>
        <w:rPr>
          <w:rFonts w:hint="eastAsia" w:ascii="宋体" w:hAnsi="宋体" w:eastAsia="宋体" w:cs="宋体"/>
          <w:sz w:val="24"/>
          <w:lang w:val="en-US" w:eastAsia="zh-CN"/>
        </w:rPr>
        <w:t>0</w:t>
      </w:r>
      <w:r>
        <w:rPr>
          <w:rFonts w:ascii="宋体" w:hAnsi="宋体" w:eastAsia="宋体" w:cs="宋体"/>
          <w:sz w:val="24"/>
        </w:rPr>
        <w:t>0至14:</w:t>
      </w:r>
      <w:r>
        <w:rPr>
          <w:rFonts w:hint="eastAsia" w:ascii="宋体" w:hAnsi="宋体" w:eastAsia="宋体" w:cs="宋体"/>
          <w:sz w:val="24"/>
          <w:lang w:val="en-US" w:eastAsia="zh-CN"/>
        </w:rPr>
        <w:t>0</w:t>
      </w:r>
      <w:r>
        <w:rPr>
          <w:rFonts w:ascii="宋体" w:hAnsi="宋体" w:eastAsia="宋体" w:cs="宋体"/>
          <w:sz w:val="24"/>
        </w:rPr>
        <w:t>0；晚餐17:00至19:30。</w:t>
      </w:r>
    </w:p>
    <w:p w14:paraId="23F2299E">
      <w:pPr>
        <w:pStyle w:val="12"/>
        <w:ind w:firstLine="480"/>
        <w:jc w:val="both"/>
        <w:rPr>
          <w:rFonts w:hint="default"/>
        </w:rPr>
      </w:pPr>
      <w:r>
        <w:rPr>
          <w:rFonts w:ascii="宋体" w:hAnsi="宋体" w:eastAsia="宋体" w:cs="宋体"/>
          <w:sz w:val="24"/>
        </w:rPr>
        <w:t>4.经营膳食：提供大众菜、小炒等，</w:t>
      </w:r>
      <w:r>
        <w:rPr>
          <w:rFonts w:ascii="宋体" w:hAnsi="宋体" w:eastAsia="宋体" w:cs="宋体"/>
          <w:sz w:val="24"/>
          <w:lang w:eastAsia="zh-CN"/>
        </w:rPr>
        <w:t>按需求提供治疗膳食</w:t>
      </w:r>
      <w:r>
        <w:rPr>
          <w:rFonts w:ascii="宋体" w:hAnsi="宋体" w:eastAsia="宋体" w:cs="宋体"/>
          <w:sz w:val="24"/>
        </w:rPr>
        <w:t>。</w:t>
      </w:r>
      <w:r>
        <w:rPr>
          <w:rFonts w:ascii="宋体" w:hAnsi="宋体" w:eastAsia="宋体" w:cs="宋体"/>
          <w:sz w:val="24"/>
          <w:lang w:eastAsia="zh-CN"/>
        </w:rPr>
        <w:t>可</w:t>
      </w:r>
      <w:r>
        <w:rPr>
          <w:rFonts w:ascii="宋体" w:hAnsi="宋体" w:eastAsia="宋体" w:cs="宋体"/>
          <w:sz w:val="24"/>
        </w:rPr>
        <w:t>批量制作，份量适当，</w:t>
      </w:r>
      <w:r>
        <w:rPr>
          <w:rFonts w:ascii="宋体" w:hAnsi="宋体" w:eastAsia="宋体" w:cs="宋体"/>
          <w:sz w:val="24"/>
          <w:lang w:eastAsia="zh-CN"/>
        </w:rPr>
        <w:t>注重</w:t>
      </w:r>
      <w:r>
        <w:rPr>
          <w:rFonts w:ascii="宋体" w:hAnsi="宋体" w:eastAsia="宋体" w:cs="宋体"/>
          <w:sz w:val="24"/>
        </w:rPr>
        <w:t>色、香、味和温度。</w:t>
      </w:r>
    </w:p>
    <w:p w14:paraId="5AD026AC">
      <w:pPr>
        <w:pStyle w:val="12"/>
        <w:ind w:firstLine="482"/>
        <w:rPr>
          <w:rFonts w:hint="default"/>
        </w:rPr>
      </w:pPr>
      <w:r>
        <w:rPr>
          <w:rFonts w:ascii="宋体" w:hAnsi="宋体" w:eastAsia="宋体" w:cs="宋体"/>
          <w:b/>
          <w:color w:val="000000"/>
          <w:sz w:val="24"/>
        </w:rPr>
        <w:t>5</w:t>
      </w:r>
      <w:r>
        <w:rPr>
          <w:rFonts w:ascii="宋体" w:hAnsi="宋体" w:eastAsia="宋体" w:cs="宋体"/>
          <w:color w:val="000000"/>
          <w:sz w:val="24"/>
        </w:rPr>
        <w:t>.用餐要求：早餐须提供</w:t>
      </w:r>
      <w:r>
        <w:rPr>
          <w:rFonts w:ascii="宋体" w:hAnsi="宋体" w:eastAsia="宋体" w:cs="宋体"/>
          <w:color w:val="000000"/>
          <w:sz w:val="24"/>
          <w:lang w:eastAsia="zh-CN"/>
        </w:rPr>
        <w:t>6类</w:t>
      </w:r>
      <w:r>
        <w:rPr>
          <w:rFonts w:ascii="宋体" w:hAnsi="宋体" w:eastAsia="宋体" w:cs="宋体"/>
          <w:color w:val="000000"/>
          <w:sz w:val="24"/>
        </w:rPr>
        <w:t>以上</w:t>
      </w:r>
      <w:r>
        <w:rPr>
          <w:rFonts w:ascii="宋体" w:hAnsi="宋体" w:eastAsia="宋体" w:cs="宋体"/>
          <w:color w:val="000000"/>
          <w:sz w:val="24"/>
          <w:lang w:eastAsia="zh-CN"/>
        </w:rPr>
        <w:t>品种</w:t>
      </w:r>
      <w:r>
        <w:rPr>
          <w:rFonts w:ascii="宋体" w:hAnsi="宋体" w:eastAsia="宋体" w:cs="宋体"/>
          <w:color w:val="000000"/>
          <w:sz w:val="24"/>
        </w:rPr>
        <w:t>供选择；午餐需提供不少于</w:t>
      </w:r>
      <w:r>
        <w:rPr>
          <w:rFonts w:ascii="宋体" w:hAnsi="宋体" w:eastAsia="宋体" w:cs="宋体"/>
          <w:color w:val="000000"/>
          <w:sz w:val="24"/>
          <w:lang w:eastAsia="zh-CN"/>
        </w:rPr>
        <w:t>6</w:t>
      </w:r>
      <w:r>
        <w:rPr>
          <w:rFonts w:ascii="宋体" w:hAnsi="宋体" w:eastAsia="宋体" w:cs="宋体"/>
          <w:color w:val="000000"/>
          <w:sz w:val="24"/>
        </w:rPr>
        <w:t>荤</w:t>
      </w:r>
      <w:r>
        <w:rPr>
          <w:rFonts w:ascii="宋体" w:hAnsi="宋体" w:eastAsia="宋体" w:cs="宋体"/>
          <w:color w:val="000000"/>
          <w:sz w:val="24"/>
          <w:lang w:eastAsia="zh-CN"/>
        </w:rPr>
        <w:t>6</w:t>
      </w:r>
      <w:r>
        <w:rPr>
          <w:rFonts w:ascii="宋体" w:hAnsi="宋体" w:eastAsia="宋体" w:cs="宋体"/>
          <w:color w:val="000000"/>
          <w:sz w:val="24"/>
        </w:rPr>
        <w:t>素</w:t>
      </w:r>
      <w:r>
        <w:rPr>
          <w:rFonts w:ascii="宋体" w:hAnsi="宋体" w:eastAsia="宋体" w:cs="宋体"/>
          <w:color w:val="000000"/>
          <w:sz w:val="24"/>
          <w:lang w:eastAsia="zh-CN"/>
        </w:rPr>
        <w:t>及2</w:t>
      </w:r>
      <w:r>
        <w:rPr>
          <w:rFonts w:ascii="宋体" w:hAnsi="宋体" w:eastAsia="宋体" w:cs="宋体"/>
          <w:color w:val="000000"/>
          <w:sz w:val="24"/>
        </w:rPr>
        <w:t>汤的菜品</w:t>
      </w:r>
      <w:r>
        <w:rPr>
          <w:rFonts w:ascii="宋体" w:hAnsi="宋体" w:eastAsia="宋体" w:cs="宋体"/>
          <w:color w:val="000000"/>
          <w:sz w:val="24"/>
          <w:lang w:eastAsia="zh-CN"/>
        </w:rPr>
        <w:t>，晚餐需提供不少于3荤3素及1汤</w:t>
      </w:r>
      <w:r>
        <w:rPr>
          <w:rFonts w:hint="eastAsia" w:ascii="宋体" w:hAnsi="宋体" w:eastAsia="宋体" w:cs="宋体"/>
          <w:color w:val="000000"/>
          <w:sz w:val="24"/>
          <w:lang w:val="en-US" w:eastAsia="zh-CN"/>
        </w:rPr>
        <w:t>的菜品</w:t>
      </w:r>
      <w:r>
        <w:rPr>
          <w:rFonts w:ascii="宋体" w:hAnsi="宋体" w:eastAsia="宋体" w:cs="宋体"/>
          <w:color w:val="000000"/>
          <w:sz w:val="24"/>
        </w:rPr>
        <w:t>。供应商</w:t>
      </w:r>
      <w:r>
        <w:rPr>
          <w:rFonts w:ascii="宋体" w:hAnsi="宋体" w:eastAsia="宋体" w:cs="宋体"/>
          <w:color w:val="000000"/>
          <w:sz w:val="24"/>
          <w:lang w:eastAsia="zh-CN"/>
        </w:rPr>
        <w:t>每周五</w:t>
      </w:r>
      <w:r>
        <w:rPr>
          <w:rFonts w:hint="eastAsia" w:ascii="宋体" w:hAnsi="宋体" w:eastAsia="宋体" w:cs="宋体"/>
          <w:color w:val="000000"/>
          <w:sz w:val="24"/>
          <w:lang w:val="en-US" w:eastAsia="zh-CN"/>
        </w:rPr>
        <w:t>12：00以前</w:t>
      </w:r>
      <w:r>
        <w:rPr>
          <w:rFonts w:ascii="宋体" w:hAnsi="宋体" w:eastAsia="宋体" w:cs="宋体"/>
          <w:color w:val="000000"/>
          <w:sz w:val="24"/>
        </w:rPr>
        <w:t>须提供下一周</w:t>
      </w:r>
      <w:r>
        <w:rPr>
          <w:rFonts w:ascii="宋体" w:hAnsi="宋体" w:eastAsia="宋体" w:cs="宋体"/>
          <w:color w:val="000000"/>
          <w:sz w:val="24"/>
          <w:lang w:eastAsia="zh-CN"/>
        </w:rPr>
        <w:t>每天</w:t>
      </w:r>
      <w:r>
        <w:rPr>
          <w:rFonts w:ascii="宋体" w:hAnsi="宋体" w:eastAsia="宋体" w:cs="宋体"/>
          <w:color w:val="000000"/>
          <w:sz w:val="24"/>
        </w:rPr>
        <w:t>菜谱，</w:t>
      </w:r>
      <w:r>
        <w:rPr>
          <w:rFonts w:ascii="宋体" w:hAnsi="宋体" w:eastAsia="宋体" w:cs="宋体"/>
          <w:color w:val="000000"/>
          <w:sz w:val="24"/>
          <w:lang w:eastAsia="zh-CN"/>
        </w:rPr>
        <w:t>交</w:t>
      </w:r>
      <w:r>
        <w:rPr>
          <w:rFonts w:ascii="宋体" w:hAnsi="宋体" w:eastAsia="宋体" w:cs="宋体"/>
          <w:color w:val="000000"/>
          <w:sz w:val="24"/>
        </w:rPr>
        <w:t>医院</w:t>
      </w:r>
      <w:r>
        <w:rPr>
          <w:rFonts w:hint="eastAsia" w:ascii="宋体" w:hAnsi="宋体" w:eastAsia="宋体" w:cs="宋体"/>
          <w:color w:val="000000"/>
          <w:sz w:val="24"/>
          <w:lang w:val="en-US" w:eastAsia="zh-CN"/>
        </w:rPr>
        <w:t>营养科</w:t>
      </w:r>
      <w:r>
        <w:rPr>
          <w:rFonts w:ascii="宋体" w:hAnsi="宋体" w:eastAsia="宋体" w:cs="宋体"/>
          <w:color w:val="000000"/>
          <w:sz w:val="24"/>
        </w:rPr>
        <w:t>审核。</w:t>
      </w:r>
    </w:p>
    <w:p w14:paraId="0204581D">
      <w:pPr>
        <w:pStyle w:val="12"/>
        <w:ind w:firstLine="480"/>
        <w:jc w:val="both"/>
        <w:rPr>
          <w:rFonts w:hint="default" w:ascii="宋体" w:hAnsi="宋体" w:eastAsia="宋体" w:cs="宋体"/>
          <w:sz w:val="24"/>
          <w:lang w:eastAsia="zh-CN"/>
        </w:rPr>
      </w:pPr>
      <w:r>
        <w:rPr>
          <w:rFonts w:ascii="宋体" w:hAnsi="宋体" w:eastAsia="宋体" w:cs="宋体"/>
          <w:sz w:val="24"/>
        </w:rPr>
        <w:t>6.</w:t>
      </w:r>
      <w:r>
        <w:rPr>
          <w:rFonts w:ascii="宋体" w:hAnsi="宋体" w:eastAsia="宋体" w:cs="宋体"/>
          <w:sz w:val="24"/>
          <w:lang w:eastAsia="zh-CN"/>
        </w:rPr>
        <w:t>特殊情况须按</w:t>
      </w:r>
      <w:r>
        <w:rPr>
          <w:rFonts w:ascii="宋体" w:hAnsi="宋体" w:eastAsia="宋体" w:cs="宋体"/>
          <w:sz w:val="24"/>
        </w:rPr>
        <w:t>照营养科制定的菜单及要求，提供多样化的菜品以满足</w:t>
      </w:r>
      <w:r>
        <w:rPr>
          <w:rFonts w:ascii="宋体" w:hAnsi="宋体" w:eastAsia="宋体" w:cs="宋体"/>
          <w:sz w:val="24"/>
          <w:lang w:eastAsia="zh-CN"/>
        </w:rPr>
        <w:t>病</w:t>
      </w:r>
      <w:r>
        <w:rPr>
          <w:rFonts w:ascii="宋体" w:hAnsi="宋体" w:eastAsia="宋体" w:cs="宋体"/>
          <w:sz w:val="24"/>
        </w:rPr>
        <w:t>人需求</w:t>
      </w:r>
      <w:r>
        <w:rPr>
          <w:rFonts w:ascii="宋体" w:hAnsi="宋体" w:eastAsia="宋体" w:cs="宋体"/>
          <w:sz w:val="24"/>
          <w:lang w:eastAsia="zh-CN"/>
        </w:rPr>
        <w:t>。</w:t>
      </w:r>
    </w:p>
    <w:p w14:paraId="6F0D0BD5">
      <w:pPr>
        <w:pStyle w:val="12"/>
        <w:ind w:firstLine="480"/>
        <w:jc w:val="both"/>
        <w:rPr>
          <w:rFonts w:hint="default"/>
        </w:rPr>
      </w:pPr>
      <w:r>
        <w:rPr>
          <w:rFonts w:ascii="宋体" w:hAnsi="宋体" w:eastAsia="宋体" w:cs="宋体"/>
          <w:sz w:val="24"/>
          <w:lang w:eastAsia="zh-CN"/>
        </w:rPr>
        <w:t>7</w:t>
      </w:r>
      <w:r>
        <w:rPr>
          <w:rFonts w:ascii="宋体" w:hAnsi="宋体" w:eastAsia="宋体" w:cs="宋体"/>
          <w:sz w:val="24"/>
        </w:rPr>
        <w:t>.</w:t>
      </w:r>
      <w:r>
        <w:rPr>
          <w:rFonts w:ascii="宋体" w:hAnsi="宋体" w:eastAsia="宋体" w:cs="宋体"/>
          <w:sz w:val="24"/>
          <w:lang w:eastAsia="zh-CN"/>
        </w:rPr>
        <w:t>食堂服务</w:t>
      </w:r>
      <w:r>
        <w:rPr>
          <w:rFonts w:ascii="宋体" w:hAnsi="宋体" w:eastAsia="宋体" w:cs="宋体"/>
          <w:sz w:val="24"/>
        </w:rPr>
        <w:t>收费</w:t>
      </w:r>
      <w:r>
        <w:rPr>
          <w:rFonts w:ascii="宋体" w:hAnsi="宋体" w:eastAsia="宋体" w:cs="宋体"/>
          <w:sz w:val="24"/>
          <w:lang w:eastAsia="zh-CN"/>
        </w:rPr>
        <w:t>价格</w:t>
      </w:r>
      <w:r>
        <w:rPr>
          <w:rFonts w:hint="eastAsia" w:ascii="宋体" w:hAnsi="宋体" w:eastAsia="宋体" w:cs="宋体"/>
          <w:sz w:val="24"/>
          <w:lang w:val="en-US" w:eastAsia="zh-CN"/>
        </w:rPr>
        <w:t>应低</w:t>
      </w:r>
      <w:r>
        <w:rPr>
          <w:rFonts w:ascii="宋体" w:hAnsi="宋体" w:eastAsia="宋体" w:cs="宋体"/>
          <w:sz w:val="24"/>
        </w:rPr>
        <w:t>于当地</w:t>
      </w:r>
      <w:r>
        <w:rPr>
          <w:rFonts w:ascii="宋体" w:hAnsi="宋体" w:eastAsia="宋体" w:cs="宋体"/>
          <w:sz w:val="24"/>
          <w:lang w:eastAsia="zh-CN"/>
        </w:rPr>
        <w:t>市场行情</w:t>
      </w:r>
      <w:r>
        <w:rPr>
          <w:rFonts w:ascii="宋体" w:hAnsi="宋体" w:eastAsia="宋体" w:cs="宋体"/>
          <w:sz w:val="24"/>
        </w:rPr>
        <w:t>的价格。</w:t>
      </w:r>
    </w:p>
    <w:p w14:paraId="4772D608">
      <w:pPr>
        <w:pStyle w:val="12"/>
        <w:ind w:firstLine="482" w:firstLineChars="200"/>
        <w:jc w:val="both"/>
        <w:rPr>
          <w:rFonts w:hint="default"/>
        </w:rPr>
      </w:pPr>
      <w:r>
        <w:rPr>
          <w:rFonts w:ascii="宋体" w:hAnsi="宋体" w:eastAsia="宋体" w:cs="宋体"/>
          <w:b/>
          <w:color w:val="000000"/>
          <w:sz w:val="24"/>
        </w:rPr>
        <w:t>三</w:t>
      </w:r>
      <w:r>
        <w:rPr>
          <w:rFonts w:hint="eastAsia" w:ascii="宋体" w:hAnsi="宋体" w:eastAsia="宋体" w:cs="宋体"/>
          <w:b/>
          <w:color w:val="000000"/>
          <w:sz w:val="24"/>
          <w:lang w:eastAsia="zh-CN"/>
        </w:rPr>
        <w:t>、</w:t>
      </w:r>
      <w:r>
        <w:rPr>
          <w:rFonts w:ascii="宋体" w:hAnsi="宋体" w:eastAsia="宋体" w:cs="宋体"/>
          <w:b/>
          <w:color w:val="000000"/>
          <w:sz w:val="24"/>
        </w:rPr>
        <w:t>食堂内设备设施情况</w:t>
      </w:r>
    </w:p>
    <w:p w14:paraId="119599BF">
      <w:pPr>
        <w:pStyle w:val="12"/>
        <w:ind w:firstLine="480"/>
        <w:jc w:val="both"/>
        <w:rPr>
          <w:rFonts w:hint="default" w:ascii="宋体" w:hAnsi="宋体" w:eastAsia="宋体" w:cs="宋体"/>
          <w:sz w:val="24"/>
        </w:rPr>
      </w:pPr>
      <w:r>
        <w:rPr>
          <w:rFonts w:ascii="宋体" w:hAnsi="宋体" w:eastAsia="宋体" w:cs="宋体"/>
          <w:sz w:val="24"/>
        </w:rPr>
        <w:t>1.食堂现有设备设施，</w:t>
      </w:r>
      <w:r>
        <w:rPr>
          <w:rFonts w:ascii="宋体" w:hAnsi="宋体" w:eastAsia="宋体" w:cs="宋体"/>
          <w:sz w:val="24"/>
          <w:lang w:eastAsia="zh-CN"/>
        </w:rPr>
        <w:t>供应商</w:t>
      </w:r>
      <w:r>
        <w:rPr>
          <w:rFonts w:hint="default" w:ascii="宋体" w:hAnsi="宋体" w:eastAsia="宋体" w:cs="宋体"/>
          <w:sz w:val="24"/>
          <w:lang w:eastAsia="zh-CN"/>
        </w:rPr>
        <w:t>负责日常维修及费用，服务期满按清单返还给医院（能正常使用）。</w:t>
      </w:r>
      <w:r>
        <w:rPr>
          <w:rFonts w:ascii="宋体" w:hAnsi="宋体" w:eastAsia="宋体" w:cs="宋体"/>
          <w:sz w:val="24"/>
        </w:rPr>
        <w:t>如不满足用餐需求，供应商可自行添置设备设施</w:t>
      </w:r>
      <w:r>
        <w:rPr>
          <w:rFonts w:hint="eastAsia" w:ascii="宋体" w:hAnsi="宋体" w:eastAsia="宋体" w:cs="宋体"/>
          <w:sz w:val="24"/>
          <w:lang w:eastAsia="zh-CN"/>
        </w:rPr>
        <w:t>（</w:t>
      </w:r>
      <w:r>
        <w:rPr>
          <w:rFonts w:hint="eastAsia" w:ascii="宋体" w:hAnsi="宋体" w:eastAsia="宋体" w:cs="宋体"/>
          <w:sz w:val="24"/>
          <w:lang w:val="en-US" w:eastAsia="zh-CN"/>
        </w:rPr>
        <w:t>费用自理）</w:t>
      </w:r>
      <w:r>
        <w:rPr>
          <w:rFonts w:ascii="宋体" w:hAnsi="宋体" w:eastAsia="宋体" w:cs="宋体"/>
          <w:sz w:val="24"/>
        </w:rPr>
        <w:t>。</w:t>
      </w:r>
    </w:p>
    <w:p w14:paraId="7FABEC75">
      <w:pPr>
        <w:pStyle w:val="12"/>
        <w:ind w:firstLine="480"/>
        <w:jc w:val="both"/>
        <w:rPr>
          <w:rFonts w:hint="default" w:ascii="宋体" w:hAnsi="宋体" w:eastAsia="宋体" w:cs="宋体"/>
          <w:sz w:val="24"/>
        </w:rPr>
      </w:pPr>
      <w:r>
        <w:rPr>
          <w:rFonts w:ascii="宋体" w:hAnsi="宋体" w:eastAsia="宋体" w:cs="宋体"/>
          <w:sz w:val="24"/>
          <w:lang w:eastAsia="zh-CN"/>
        </w:rPr>
        <w:t>2.</w:t>
      </w:r>
      <w:r>
        <w:rPr>
          <w:rFonts w:hint="default" w:ascii="宋体" w:hAnsi="宋体" w:eastAsia="宋体" w:cs="宋体"/>
          <w:sz w:val="24"/>
          <w:lang w:eastAsia="zh-CN"/>
        </w:rPr>
        <w:t>医院提供食堂用水、电、气，</w:t>
      </w:r>
      <w:r>
        <w:rPr>
          <w:rFonts w:ascii="宋体" w:hAnsi="宋体" w:eastAsia="宋体" w:cs="宋体"/>
          <w:sz w:val="24"/>
          <w:lang w:eastAsia="zh-CN"/>
        </w:rPr>
        <w:t>供应商</w:t>
      </w:r>
      <w:r>
        <w:rPr>
          <w:rFonts w:hint="default" w:ascii="宋体" w:hAnsi="宋体" w:eastAsia="宋体" w:cs="宋体"/>
          <w:sz w:val="24"/>
          <w:lang w:eastAsia="zh-CN"/>
        </w:rPr>
        <w:t>承担使用费用</w:t>
      </w:r>
      <w:r>
        <w:rPr>
          <w:rFonts w:ascii="宋体" w:hAnsi="宋体" w:eastAsia="宋体" w:cs="宋体"/>
          <w:sz w:val="24"/>
          <w:lang w:eastAsia="zh-CN"/>
        </w:rPr>
        <w:t>，每月结算。</w:t>
      </w:r>
    </w:p>
    <w:p w14:paraId="2191157F">
      <w:pPr>
        <w:pStyle w:val="12"/>
        <w:ind w:firstLine="480"/>
        <w:jc w:val="both"/>
        <w:rPr>
          <w:rFonts w:hint="default"/>
        </w:rPr>
      </w:pPr>
      <w:r>
        <w:rPr>
          <w:rFonts w:ascii="宋体" w:hAnsi="宋体" w:eastAsia="宋体" w:cs="宋体"/>
          <w:sz w:val="24"/>
          <w:lang w:eastAsia="zh-CN"/>
        </w:rPr>
        <w:t>3</w:t>
      </w:r>
      <w:r>
        <w:rPr>
          <w:rFonts w:ascii="宋体" w:hAnsi="宋体" w:eastAsia="宋体" w:cs="宋体"/>
          <w:sz w:val="24"/>
        </w:rPr>
        <w:t>.服务期内</w:t>
      </w:r>
      <w:r>
        <w:rPr>
          <w:rFonts w:ascii="宋体" w:hAnsi="宋体" w:eastAsia="宋体" w:cs="宋体"/>
          <w:color w:val="000000" w:themeColor="text1"/>
          <w:sz w:val="24"/>
          <w:lang w:eastAsia="zh-CN"/>
          <w14:textFill>
            <w14:solidFill>
              <w14:schemeClr w14:val="tx1"/>
            </w14:solidFill>
          </w14:textFill>
        </w:rPr>
        <w:t>定期清洗烟道</w:t>
      </w:r>
      <w:r>
        <w:rPr>
          <w:rFonts w:ascii="宋体" w:hAnsi="宋体" w:eastAsia="宋体" w:cs="宋体"/>
          <w:sz w:val="24"/>
          <w:lang w:eastAsia="zh-CN"/>
        </w:rPr>
        <w:t>、清掏下水道</w:t>
      </w:r>
      <w:r>
        <w:rPr>
          <w:rFonts w:ascii="宋体" w:hAnsi="宋体" w:eastAsia="宋体" w:cs="宋体"/>
          <w:color w:val="000000" w:themeColor="text1"/>
          <w:sz w:val="24"/>
          <w:lang w:eastAsia="zh-CN"/>
          <w14:textFill>
            <w14:solidFill>
              <w14:schemeClr w14:val="tx1"/>
            </w14:solidFill>
          </w14:textFill>
        </w:rPr>
        <w:t>及厨房内环境整治</w:t>
      </w:r>
      <w:r>
        <w:rPr>
          <w:rFonts w:ascii="宋体" w:hAnsi="宋体" w:eastAsia="宋体" w:cs="宋体"/>
          <w:sz w:val="24"/>
          <w:lang w:eastAsia="zh-CN"/>
        </w:rPr>
        <w:t>等</w:t>
      </w:r>
      <w:r>
        <w:rPr>
          <w:rFonts w:ascii="宋体" w:hAnsi="宋体" w:eastAsia="宋体" w:cs="宋体"/>
          <w:sz w:val="24"/>
        </w:rPr>
        <w:t>费用由供应商承担。</w:t>
      </w:r>
    </w:p>
    <w:p w14:paraId="5AD8A131">
      <w:pPr>
        <w:pStyle w:val="12"/>
        <w:ind w:firstLine="480"/>
        <w:jc w:val="both"/>
        <w:rPr>
          <w:rFonts w:hint="default"/>
        </w:rPr>
      </w:pPr>
      <w:r>
        <w:rPr>
          <w:rFonts w:ascii="宋体" w:hAnsi="宋体" w:eastAsia="宋体" w:cs="宋体"/>
          <w:sz w:val="24"/>
          <w:lang w:eastAsia="zh-CN"/>
        </w:rPr>
        <w:t>4</w:t>
      </w:r>
      <w:r>
        <w:rPr>
          <w:rFonts w:ascii="宋体" w:hAnsi="宋体" w:eastAsia="宋体" w:cs="宋体"/>
          <w:sz w:val="24"/>
        </w:rPr>
        <w:t>.服务结束后所有固定设备设施不得拆除，应保持其完好，均归采购人所有。</w:t>
      </w:r>
    </w:p>
    <w:p w14:paraId="368AE474">
      <w:pPr>
        <w:pStyle w:val="12"/>
        <w:ind w:firstLine="482" w:firstLineChars="200"/>
        <w:jc w:val="both"/>
        <w:rPr>
          <w:rFonts w:hint="default"/>
        </w:rPr>
      </w:pPr>
      <w:r>
        <w:rPr>
          <w:rFonts w:ascii="宋体" w:hAnsi="宋体" w:eastAsia="宋体" w:cs="宋体"/>
          <w:b/>
          <w:color w:val="000000"/>
          <w:sz w:val="24"/>
        </w:rPr>
        <w:t>四</w:t>
      </w:r>
      <w:r>
        <w:rPr>
          <w:rFonts w:hint="eastAsia" w:ascii="宋体" w:hAnsi="宋体" w:eastAsia="宋体" w:cs="宋体"/>
          <w:b/>
          <w:color w:val="000000"/>
          <w:sz w:val="24"/>
          <w:lang w:eastAsia="zh-CN"/>
        </w:rPr>
        <w:t>、</w:t>
      </w:r>
      <w:r>
        <w:rPr>
          <w:rFonts w:ascii="宋体" w:hAnsi="宋体" w:eastAsia="宋体" w:cs="宋体"/>
          <w:b/>
          <w:color w:val="000000"/>
          <w:sz w:val="24"/>
        </w:rPr>
        <w:t>服务要求</w:t>
      </w:r>
    </w:p>
    <w:p w14:paraId="4E0D1E06">
      <w:pPr>
        <w:pStyle w:val="12"/>
        <w:ind w:firstLine="480"/>
        <w:jc w:val="both"/>
        <w:rPr>
          <w:rFonts w:hint="default"/>
        </w:rPr>
      </w:pPr>
      <w:r>
        <w:rPr>
          <w:rFonts w:ascii="宋体" w:hAnsi="宋体" w:eastAsia="宋体" w:cs="宋体"/>
          <w:color w:val="000000"/>
          <w:sz w:val="24"/>
        </w:rPr>
        <w:t>1.遵从国家法律、法规、规章及规范性文件总体要求，包括如下：</w:t>
      </w:r>
    </w:p>
    <w:p w14:paraId="3E80F45A">
      <w:pPr>
        <w:pStyle w:val="12"/>
        <w:ind w:firstLine="480"/>
        <w:jc w:val="both"/>
        <w:rPr>
          <w:rFonts w:hint="default"/>
        </w:rPr>
      </w:pPr>
      <w:r>
        <w:rPr>
          <w:rFonts w:ascii="宋体" w:hAnsi="宋体" w:eastAsia="宋体" w:cs="宋体"/>
          <w:color w:val="000000"/>
          <w:sz w:val="24"/>
        </w:rPr>
        <w:t>（1）《中华人民共和国食品安全法》；</w:t>
      </w:r>
    </w:p>
    <w:p w14:paraId="4AE014F9">
      <w:pPr>
        <w:pStyle w:val="12"/>
        <w:ind w:firstLine="480"/>
        <w:jc w:val="both"/>
        <w:rPr>
          <w:rFonts w:hint="default"/>
        </w:rPr>
      </w:pPr>
      <w:r>
        <w:rPr>
          <w:rFonts w:ascii="宋体" w:hAnsi="宋体" w:eastAsia="宋体" w:cs="宋体"/>
          <w:color w:val="000000"/>
          <w:sz w:val="24"/>
        </w:rPr>
        <w:t>（2）《中华人民共和国食品安全法实施条例》；</w:t>
      </w:r>
    </w:p>
    <w:p w14:paraId="763AC4D7">
      <w:pPr>
        <w:pStyle w:val="12"/>
        <w:ind w:firstLine="480"/>
        <w:jc w:val="both"/>
        <w:rPr>
          <w:rFonts w:hint="default"/>
        </w:rPr>
      </w:pPr>
      <w:r>
        <w:rPr>
          <w:rFonts w:ascii="宋体" w:hAnsi="宋体" w:eastAsia="宋体" w:cs="宋体"/>
          <w:color w:val="000000"/>
          <w:sz w:val="24"/>
        </w:rPr>
        <w:t>（3）《中华人民共和国消防法》；</w:t>
      </w:r>
    </w:p>
    <w:p w14:paraId="79250E0B">
      <w:pPr>
        <w:pStyle w:val="12"/>
        <w:ind w:firstLine="480"/>
        <w:jc w:val="both"/>
        <w:rPr>
          <w:rFonts w:hint="default"/>
        </w:rPr>
      </w:pPr>
      <w:r>
        <w:rPr>
          <w:rFonts w:ascii="宋体" w:hAnsi="宋体" w:eastAsia="宋体" w:cs="宋体"/>
          <w:color w:val="000000"/>
          <w:sz w:val="24"/>
        </w:rPr>
        <w:t>（4）《餐饮服务食品安全监督管理办法》；</w:t>
      </w:r>
    </w:p>
    <w:p w14:paraId="0F74D336">
      <w:pPr>
        <w:pStyle w:val="12"/>
        <w:ind w:firstLine="480"/>
        <w:jc w:val="both"/>
        <w:rPr>
          <w:rFonts w:hint="default"/>
        </w:rPr>
      </w:pPr>
      <w:r>
        <w:rPr>
          <w:rFonts w:ascii="宋体" w:hAnsi="宋体" w:eastAsia="宋体" w:cs="宋体"/>
          <w:color w:val="000000"/>
          <w:sz w:val="24"/>
        </w:rPr>
        <w:t>（5）《食品添加剂新品种管理办法》；</w:t>
      </w:r>
    </w:p>
    <w:p w14:paraId="3ED566F9">
      <w:pPr>
        <w:pStyle w:val="12"/>
        <w:ind w:firstLine="480"/>
        <w:jc w:val="both"/>
        <w:rPr>
          <w:rFonts w:hint="default"/>
        </w:rPr>
      </w:pPr>
      <w:r>
        <w:rPr>
          <w:rFonts w:ascii="宋体" w:hAnsi="宋体" w:eastAsia="宋体" w:cs="宋体"/>
          <w:color w:val="000000"/>
          <w:sz w:val="24"/>
        </w:rPr>
        <w:t>（6）《餐饮服务许可管理办法》；</w:t>
      </w:r>
    </w:p>
    <w:p w14:paraId="4F332279">
      <w:pPr>
        <w:pStyle w:val="12"/>
        <w:ind w:firstLine="480"/>
        <w:jc w:val="both"/>
        <w:rPr>
          <w:rFonts w:hint="default"/>
        </w:rPr>
      </w:pPr>
      <w:r>
        <w:rPr>
          <w:rFonts w:ascii="宋体" w:hAnsi="宋体" w:eastAsia="宋体" w:cs="宋体"/>
          <w:color w:val="000000"/>
          <w:sz w:val="24"/>
        </w:rPr>
        <w:t>（7）《餐饮业和集体用餐单位卫生规范》；</w:t>
      </w:r>
    </w:p>
    <w:p w14:paraId="5418E4F1">
      <w:pPr>
        <w:pStyle w:val="12"/>
        <w:ind w:firstLine="480"/>
        <w:jc w:val="both"/>
        <w:rPr>
          <w:rFonts w:hint="default"/>
        </w:rPr>
      </w:pPr>
      <w:r>
        <w:rPr>
          <w:rFonts w:ascii="宋体" w:hAnsi="宋体" w:eastAsia="宋体" w:cs="宋体"/>
          <w:color w:val="000000"/>
          <w:sz w:val="24"/>
        </w:rPr>
        <w:t>（8）《食品加工、销售卫生“五四”制》；</w:t>
      </w:r>
    </w:p>
    <w:p w14:paraId="46602BDF">
      <w:pPr>
        <w:pStyle w:val="12"/>
        <w:ind w:firstLine="480"/>
        <w:jc w:val="both"/>
        <w:rPr>
          <w:rFonts w:hint="default"/>
        </w:rPr>
      </w:pPr>
      <w:r>
        <w:rPr>
          <w:rFonts w:ascii="宋体" w:hAnsi="宋体" w:eastAsia="宋体" w:cs="宋体"/>
          <w:color w:val="000000"/>
          <w:sz w:val="24"/>
        </w:rPr>
        <w:t>（</w:t>
      </w:r>
      <w:r>
        <w:rPr>
          <w:rFonts w:ascii="宋体" w:hAnsi="宋体" w:eastAsia="宋体" w:cs="宋体"/>
          <w:color w:val="000000"/>
          <w:sz w:val="24"/>
          <w:lang w:eastAsia="zh-CN"/>
        </w:rPr>
        <w:t>9</w:t>
      </w:r>
      <w:r>
        <w:rPr>
          <w:rFonts w:ascii="宋体" w:hAnsi="宋体" w:eastAsia="宋体" w:cs="宋体"/>
          <w:color w:val="000000"/>
          <w:sz w:val="24"/>
        </w:rPr>
        <w:t>）《关于加强食品添加剂监督管理工作的通知》。</w:t>
      </w:r>
    </w:p>
    <w:p w14:paraId="315D2784">
      <w:pPr>
        <w:pStyle w:val="12"/>
        <w:ind w:firstLine="480" w:firstLineChars="200"/>
        <w:outlineLvl w:val="2"/>
        <w:rPr>
          <w:rFonts w:hint="default"/>
          <w:b/>
          <w:sz w:val="28"/>
        </w:rPr>
      </w:pPr>
      <w:r>
        <w:rPr>
          <w:rFonts w:ascii="宋体" w:hAnsi="宋体" w:eastAsia="宋体" w:cs="宋体"/>
          <w:color w:val="000000"/>
          <w:sz w:val="24"/>
        </w:rPr>
        <w:t>（1</w:t>
      </w:r>
      <w:r>
        <w:rPr>
          <w:rFonts w:ascii="宋体" w:hAnsi="宋体" w:eastAsia="宋体" w:cs="宋体"/>
          <w:color w:val="000000"/>
          <w:sz w:val="24"/>
          <w:lang w:eastAsia="zh-CN"/>
        </w:rPr>
        <w:t>0</w:t>
      </w:r>
      <w:r>
        <w:rPr>
          <w:rFonts w:ascii="宋体" w:hAnsi="宋体" w:eastAsia="宋体" w:cs="宋体"/>
          <w:color w:val="000000"/>
          <w:sz w:val="24"/>
        </w:rPr>
        <w:t>）《关于加强餐饮服务食物中毒信息上报的通知》。</w:t>
      </w:r>
    </w:p>
    <w:p w14:paraId="7E08EEB5">
      <w:pPr>
        <w:pStyle w:val="12"/>
        <w:ind w:firstLine="480"/>
        <w:jc w:val="both"/>
        <w:rPr>
          <w:rFonts w:hint="default"/>
        </w:rPr>
      </w:pPr>
      <w:r>
        <w:rPr>
          <w:rFonts w:ascii="宋体" w:hAnsi="宋体" w:eastAsia="宋体" w:cs="宋体"/>
          <w:color w:val="000000"/>
          <w:sz w:val="24"/>
        </w:rPr>
        <w:t>（1</w:t>
      </w:r>
      <w:r>
        <w:rPr>
          <w:rFonts w:ascii="宋体" w:hAnsi="宋体" w:eastAsia="宋体" w:cs="宋体"/>
          <w:color w:val="000000"/>
          <w:sz w:val="24"/>
          <w:lang w:eastAsia="zh-CN"/>
        </w:rPr>
        <w:t>1</w:t>
      </w:r>
      <w:r>
        <w:rPr>
          <w:rFonts w:ascii="宋体" w:hAnsi="宋体" w:eastAsia="宋体" w:cs="宋体"/>
          <w:color w:val="000000"/>
          <w:sz w:val="24"/>
        </w:rPr>
        <w:t>）员工熟悉并遵守《中华人民共和国消防法》《中华人民共和国食品安全法》等制度。</w:t>
      </w:r>
    </w:p>
    <w:p w14:paraId="5BFA6B79">
      <w:pPr>
        <w:pStyle w:val="12"/>
        <w:ind w:firstLine="480"/>
        <w:jc w:val="both"/>
        <w:rPr>
          <w:rFonts w:hint="default"/>
        </w:rPr>
      </w:pPr>
      <w:r>
        <w:rPr>
          <w:rFonts w:ascii="Calibri" w:hAnsi="Calibri" w:eastAsia="Calibri" w:cs="Calibri"/>
          <w:sz w:val="24"/>
        </w:rPr>
        <w:t xml:space="preserve"> </w:t>
      </w:r>
      <w:r>
        <w:rPr>
          <w:rFonts w:ascii="宋体" w:hAnsi="宋体" w:eastAsia="宋体" w:cs="宋体"/>
          <w:color w:val="000000"/>
          <w:sz w:val="24"/>
        </w:rPr>
        <w:t>（1</w:t>
      </w:r>
      <w:r>
        <w:rPr>
          <w:rFonts w:ascii="宋体" w:hAnsi="宋体" w:eastAsia="宋体" w:cs="宋体"/>
          <w:color w:val="000000"/>
          <w:sz w:val="24"/>
          <w:lang w:eastAsia="zh-CN"/>
        </w:rPr>
        <w:t>2</w:t>
      </w:r>
      <w:r>
        <w:rPr>
          <w:rFonts w:ascii="宋体" w:hAnsi="宋体" w:eastAsia="宋体" w:cs="宋体"/>
          <w:color w:val="000000"/>
          <w:sz w:val="24"/>
        </w:rPr>
        <w:t>）医院关于安全生产的相关规定。</w:t>
      </w:r>
    </w:p>
    <w:p w14:paraId="501CDBEF">
      <w:pPr>
        <w:pStyle w:val="12"/>
        <w:ind w:firstLine="480"/>
        <w:jc w:val="both"/>
        <w:rPr>
          <w:rFonts w:hint="default"/>
          <w:color w:val="FF0000"/>
        </w:rPr>
      </w:pPr>
      <w:r>
        <w:rPr>
          <w:rFonts w:ascii="宋体" w:hAnsi="宋体" w:eastAsia="宋体" w:cs="宋体"/>
          <w:color w:val="000000" w:themeColor="text1"/>
          <w:sz w:val="24"/>
          <w14:textFill>
            <w14:solidFill>
              <w14:schemeClr w14:val="tx1"/>
            </w14:solidFill>
          </w14:textFill>
        </w:rPr>
        <w:t>2.供应商须派遣专业精干的服务团队进驻，提供专业、周到的餐</w:t>
      </w:r>
      <w:r>
        <w:rPr>
          <w:rFonts w:ascii="宋体" w:hAnsi="宋体" w:eastAsia="宋体" w:cs="宋体"/>
          <w:color w:val="000000" w:themeColor="text1"/>
          <w:sz w:val="24"/>
          <w:lang w:eastAsia="zh-CN"/>
          <w14:textFill>
            <w14:solidFill>
              <w14:schemeClr w14:val="tx1"/>
            </w14:solidFill>
          </w14:textFill>
        </w:rPr>
        <w:t>饮</w:t>
      </w:r>
      <w:r>
        <w:rPr>
          <w:rFonts w:ascii="宋体" w:hAnsi="宋体" w:eastAsia="宋体" w:cs="宋体"/>
          <w:color w:val="000000" w:themeColor="text1"/>
          <w:sz w:val="24"/>
          <w14:textFill>
            <w14:solidFill>
              <w14:schemeClr w14:val="tx1"/>
            </w14:solidFill>
          </w14:textFill>
        </w:rPr>
        <w:t>服务。有完善的食堂管理组织机构和规章制度，有相应专业技术人员，负责人具有餐饮业管理经验。</w:t>
      </w:r>
    </w:p>
    <w:p w14:paraId="48B453E4">
      <w:pPr>
        <w:pStyle w:val="12"/>
        <w:ind w:firstLine="480"/>
        <w:jc w:val="both"/>
        <w:rPr>
          <w:rFonts w:hint="default"/>
        </w:rPr>
      </w:pPr>
      <w:r>
        <w:rPr>
          <w:rFonts w:ascii="宋体" w:hAnsi="宋体" w:eastAsia="宋体" w:cs="宋体"/>
          <w:color w:val="000000"/>
          <w:sz w:val="24"/>
        </w:rPr>
        <w:t>3.供应商的工作人员自行管理。其员工的福利待遇（工资</w:t>
      </w:r>
      <w:r>
        <w:rPr>
          <w:rFonts w:ascii="宋体" w:hAnsi="宋体" w:eastAsia="宋体" w:cs="宋体"/>
          <w:color w:val="000000"/>
          <w:sz w:val="24"/>
          <w:lang w:eastAsia="zh-CN"/>
        </w:rPr>
        <w:t>、</w:t>
      </w:r>
      <w:r>
        <w:rPr>
          <w:rFonts w:ascii="宋体" w:hAnsi="宋体" w:eastAsia="宋体" w:cs="宋体"/>
          <w:color w:val="000000"/>
          <w:sz w:val="24"/>
        </w:rPr>
        <w:t>社</w:t>
      </w:r>
      <w:r>
        <w:rPr>
          <w:rFonts w:ascii="宋体" w:hAnsi="宋体" w:eastAsia="宋体" w:cs="宋体"/>
          <w:color w:val="000000"/>
          <w:sz w:val="24"/>
          <w:lang w:eastAsia="zh-CN"/>
        </w:rPr>
        <w:t>会</w:t>
      </w:r>
      <w:r>
        <w:rPr>
          <w:rFonts w:ascii="宋体" w:hAnsi="宋体" w:eastAsia="宋体" w:cs="宋体"/>
          <w:color w:val="000000"/>
          <w:sz w:val="24"/>
        </w:rPr>
        <w:t>保</w:t>
      </w:r>
      <w:r>
        <w:rPr>
          <w:rFonts w:ascii="宋体" w:hAnsi="宋体" w:eastAsia="宋体" w:cs="宋体"/>
          <w:color w:val="000000"/>
          <w:sz w:val="24"/>
          <w:lang w:eastAsia="zh-CN"/>
        </w:rPr>
        <w:t>险</w:t>
      </w:r>
      <w:r>
        <w:rPr>
          <w:rFonts w:ascii="宋体" w:hAnsi="宋体" w:eastAsia="宋体" w:cs="宋体"/>
          <w:color w:val="000000"/>
          <w:sz w:val="24"/>
        </w:rPr>
        <w:t>等）、人员培训、体检、伤残疾病等所有费用均由供应商自行承担。</w:t>
      </w:r>
    </w:p>
    <w:p w14:paraId="35F6D032">
      <w:pPr>
        <w:pStyle w:val="12"/>
        <w:ind w:firstLine="480"/>
        <w:jc w:val="both"/>
        <w:rPr>
          <w:rFonts w:hint="default"/>
        </w:rPr>
      </w:pPr>
      <w:r>
        <w:rPr>
          <w:rFonts w:ascii="宋体" w:hAnsi="宋体" w:eastAsia="宋体" w:cs="宋体"/>
          <w:color w:val="000000"/>
          <w:sz w:val="24"/>
        </w:rPr>
        <w:t>4.供应商的工作人员必须遵守国家法律法规，上岗前必须通过当地卫生部门指定医疗机构的体检，并取得《四川省从业人员预防性体检合格证》</w:t>
      </w:r>
      <w:r>
        <w:rPr>
          <w:rFonts w:ascii="宋体" w:hAnsi="宋体" w:eastAsia="宋体" w:cs="宋体"/>
          <w:sz w:val="24"/>
        </w:rPr>
        <w:t>，</w:t>
      </w:r>
      <w:r>
        <w:rPr>
          <w:rFonts w:ascii="宋体" w:hAnsi="宋体" w:eastAsia="宋体" w:cs="宋体"/>
          <w:color w:val="000000"/>
          <w:sz w:val="24"/>
        </w:rPr>
        <w:t>送医院食堂监督管理部门备案。</w:t>
      </w:r>
    </w:p>
    <w:p w14:paraId="33C849A5">
      <w:pPr>
        <w:pStyle w:val="12"/>
        <w:ind w:firstLine="480"/>
        <w:jc w:val="both"/>
        <w:rPr>
          <w:rFonts w:hint="default"/>
        </w:rPr>
      </w:pPr>
      <w:r>
        <w:rPr>
          <w:rFonts w:ascii="宋体" w:hAnsi="宋体" w:eastAsia="宋体" w:cs="宋体"/>
          <w:color w:val="000000"/>
          <w:sz w:val="24"/>
        </w:rPr>
        <w:t>5.严格遵守行业操作规程，安全、正确使用食堂设施设备；严格管理、妥善保管食堂设施设备及各类餐具用具，不得故意损坏、毁坏、丢失。若因供应商管理不到位、设施设备使用不当、人员操作失误等原因发生安全责任事故造成人身伤害（包含食堂工作人员、病人及家属、医院职工等）和设施设备损失的，由供应商承担全部责任。</w:t>
      </w:r>
    </w:p>
    <w:p w14:paraId="64B7B332">
      <w:pPr>
        <w:pStyle w:val="12"/>
        <w:ind w:firstLine="480"/>
        <w:jc w:val="both"/>
        <w:rPr>
          <w:rFonts w:hint="default"/>
        </w:rPr>
      </w:pPr>
      <w:r>
        <w:rPr>
          <w:rFonts w:ascii="宋体" w:hAnsi="宋体" w:eastAsia="宋体" w:cs="宋体"/>
          <w:color w:val="000000"/>
          <w:sz w:val="24"/>
          <w:lang w:eastAsia="zh-CN"/>
        </w:rPr>
        <w:t>6</w:t>
      </w:r>
      <w:r>
        <w:rPr>
          <w:rFonts w:ascii="宋体" w:hAnsi="宋体" w:eastAsia="宋体" w:cs="宋体"/>
          <w:color w:val="000000"/>
          <w:sz w:val="24"/>
        </w:rPr>
        <w:t>.供应商应按照食堂管理部门的要求，根据就餐人数，每日按时足量提供一日三餐的主、副食及外卖相关服务。</w:t>
      </w:r>
    </w:p>
    <w:p w14:paraId="7A0B175C">
      <w:pPr>
        <w:pStyle w:val="12"/>
        <w:ind w:firstLine="480"/>
        <w:jc w:val="both"/>
        <w:rPr>
          <w:rFonts w:hint="default"/>
        </w:rPr>
      </w:pPr>
      <w:r>
        <w:rPr>
          <w:rFonts w:ascii="宋体" w:hAnsi="宋体" w:eastAsia="宋体" w:cs="宋体"/>
          <w:sz w:val="24"/>
          <w:lang w:eastAsia="zh-CN"/>
        </w:rPr>
        <w:t>7</w:t>
      </w:r>
      <w:r>
        <w:rPr>
          <w:rFonts w:ascii="宋体" w:hAnsi="宋体" w:eastAsia="宋体" w:cs="宋体"/>
          <w:sz w:val="24"/>
        </w:rPr>
        <w:t>.供应商须接受医院的监督和管理，满足用餐需求。</w:t>
      </w:r>
    </w:p>
    <w:p w14:paraId="78A715D7">
      <w:pPr>
        <w:pStyle w:val="12"/>
        <w:ind w:firstLine="480"/>
        <w:jc w:val="both"/>
        <w:rPr>
          <w:rFonts w:hint="default"/>
        </w:rPr>
      </w:pPr>
      <w:r>
        <w:rPr>
          <w:rFonts w:ascii="宋体" w:hAnsi="宋体" w:eastAsia="宋体" w:cs="宋体"/>
          <w:color w:val="000000"/>
          <w:sz w:val="24"/>
          <w:lang w:eastAsia="zh-CN"/>
        </w:rPr>
        <w:t>8</w:t>
      </w:r>
      <w:r>
        <w:rPr>
          <w:rFonts w:ascii="宋体" w:hAnsi="宋体" w:eastAsia="宋体" w:cs="宋体"/>
          <w:color w:val="000000"/>
          <w:sz w:val="24"/>
        </w:rPr>
        <w:t>.供应商应在合同签订后7日内完成交接，交接期间保证食堂的正常运行。</w:t>
      </w:r>
    </w:p>
    <w:p w14:paraId="5F16C742">
      <w:pPr>
        <w:pStyle w:val="12"/>
        <w:ind w:firstLine="480"/>
        <w:jc w:val="both"/>
        <w:rPr>
          <w:rFonts w:hint="default" w:ascii="宋体" w:hAnsi="宋体" w:eastAsia="宋体" w:cs="宋体"/>
          <w:color w:val="000000"/>
          <w:sz w:val="24"/>
        </w:rPr>
      </w:pPr>
      <w:r>
        <w:rPr>
          <w:rFonts w:ascii="宋体" w:hAnsi="宋体" w:eastAsia="宋体" w:cs="宋体"/>
          <w:color w:val="000000"/>
          <w:sz w:val="24"/>
          <w:lang w:eastAsia="zh-CN"/>
        </w:rPr>
        <w:t>9</w:t>
      </w:r>
      <w:r>
        <w:rPr>
          <w:rFonts w:ascii="宋体" w:hAnsi="宋体" w:eastAsia="宋体" w:cs="宋体"/>
          <w:color w:val="000000"/>
          <w:sz w:val="24"/>
        </w:rPr>
        <w:t>.严格执行食品留样制度。</w:t>
      </w:r>
      <w:r>
        <w:rPr>
          <w:rFonts w:hint="eastAsia" w:ascii="宋体" w:hAnsi="宋体" w:eastAsia="宋体" w:cs="宋体"/>
          <w:color w:val="000000"/>
          <w:sz w:val="24"/>
          <w:lang w:val="en-US" w:eastAsia="zh-CN"/>
        </w:rPr>
        <w:t>中标</w:t>
      </w:r>
      <w:r>
        <w:rPr>
          <w:rFonts w:ascii="宋体" w:hAnsi="宋体" w:eastAsia="宋体" w:cs="宋体"/>
          <w:color w:val="000000"/>
          <w:sz w:val="24"/>
        </w:rPr>
        <w:t>人每</w:t>
      </w:r>
      <w:r>
        <w:rPr>
          <w:rFonts w:hint="eastAsia" w:ascii="宋体" w:hAnsi="宋体" w:eastAsia="宋体" w:cs="宋体"/>
          <w:color w:val="000000"/>
          <w:sz w:val="24"/>
          <w:lang w:val="en-US" w:eastAsia="zh-CN"/>
        </w:rPr>
        <w:t>餐</w:t>
      </w:r>
      <w:r>
        <w:rPr>
          <w:rFonts w:ascii="宋体" w:hAnsi="宋体" w:eastAsia="宋体" w:cs="宋体"/>
          <w:color w:val="000000"/>
          <w:sz w:val="24"/>
        </w:rPr>
        <w:t>销售的菜品应分别取样至少</w:t>
      </w:r>
      <w:r>
        <w:rPr>
          <w:rFonts w:ascii="宋体" w:hAnsi="宋体" w:eastAsia="宋体" w:cs="宋体"/>
          <w:color w:val="000000"/>
          <w:sz w:val="24"/>
          <w:lang w:eastAsia="zh-CN"/>
        </w:rPr>
        <w:t>1</w:t>
      </w:r>
      <w:r>
        <w:rPr>
          <w:rFonts w:hint="eastAsia" w:ascii="宋体" w:hAnsi="宋体" w:eastAsia="宋体" w:cs="宋体"/>
          <w:color w:val="000000"/>
          <w:sz w:val="24"/>
          <w:lang w:val="en-US" w:eastAsia="zh-CN"/>
        </w:rPr>
        <w:t>25</w:t>
      </w:r>
      <w:r>
        <w:rPr>
          <w:rFonts w:ascii="宋体" w:hAnsi="宋体" w:eastAsia="宋体" w:cs="宋体"/>
          <w:color w:val="000000"/>
          <w:sz w:val="24"/>
        </w:rPr>
        <w:t>g，留样食品按照品种分别盛放于清洗消毒后的专用密闭容器内，在专用冷藏设备中冷藏存放48小时以上。</w:t>
      </w:r>
    </w:p>
    <w:p w14:paraId="08D636A6">
      <w:pPr>
        <w:pStyle w:val="12"/>
        <w:ind w:firstLine="482" w:firstLineChars="200"/>
        <w:jc w:val="both"/>
        <w:rPr>
          <w:rFonts w:hint="default"/>
        </w:rPr>
      </w:pPr>
      <w:r>
        <w:rPr>
          <w:rFonts w:ascii="宋体" w:hAnsi="宋体" w:eastAsia="宋体" w:cs="宋体"/>
          <w:b/>
          <w:color w:val="000000"/>
          <w:sz w:val="24"/>
        </w:rPr>
        <w:t>五</w:t>
      </w:r>
      <w:r>
        <w:rPr>
          <w:rFonts w:hint="eastAsia" w:ascii="宋体" w:hAnsi="宋体" w:eastAsia="宋体" w:cs="宋体"/>
          <w:b/>
          <w:color w:val="000000"/>
          <w:sz w:val="24"/>
          <w:lang w:eastAsia="zh-CN"/>
        </w:rPr>
        <w:t>、</w:t>
      </w:r>
      <w:r>
        <w:rPr>
          <w:rFonts w:ascii="宋体" w:hAnsi="宋体" w:eastAsia="宋体" w:cs="宋体"/>
          <w:b/>
          <w:color w:val="000000"/>
          <w:sz w:val="24"/>
        </w:rPr>
        <w:t>食品安全和风险防范（须在投标响应文件中单独承诺）</w:t>
      </w:r>
    </w:p>
    <w:p w14:paraId="34A8D06A">
      <w:pPr>
        <w:pStyle w:val="12"/>
        <w:ind w:firstLine="480"/>
        <w:jc w:val="both"/>
        <w:rPr>
          <w:rFonts w:hint="default"/>
        </w:rPr>
      </w:pPr>
      <w:r>
        <w:rPr>
          <w:rFonts w:ascii="宋体" w:hAnsi="宋体" w:eastAsia="宋体" w:cs="宋体"/>
          <w:color w:val="000000"/>
          <w:sz w:val="24"/>
        </w:rPr>
        <w:t>1</w:t>
      </w:r>
      <w:r>
        <w:rPr>
          <w:rFonts w:hint="eastAsia" w:ascii="宋体" w:hAnsi="宋体" w:eastAsia="宋体" w:cs="宋体"/>
          <w:color w:val="000000"/>
          <w:sz w:val="24"/>
          <w:lang w:val="en-US" w:eastAsia="zh-CN"/>
        </w:rPr>
        <w:t>.</w:t>
      </w:r>
      <w:r>
        <w:rPr>
          <w:rFonts w:ascii="宋体" w:hAnsi="宋体" w:eastAsia="宋体" w:cs="宋体"/>
          <w:color w:val="000000"/>
          <w:sz w:val="24"/>
        </w:rPr>
        <w:t>成交供应采购原材料涉及国家强制标准的必须符合相关标准，不得使用腐败变质</w:t>
      </w:r>
      <w:r>
        <w:rPr>
          <w:rFonts w:ascii="宋体" w:hAnsi="宋体" w:eastAsia="宋体" w:cs="宋体"/>
          <w:color w:val="000000"/>
          <w:sz w:val="24"/>
          <w:lang w:eastAsia="zh-CN"/>
        </w:rPr>
        <w:t>等</w:t>
      </w:r>
      <w:r>
        <w:rPr>
          <w:rFonts w:ascii="宋体" w:hAnsi="宋体" w:eastAsia="宋体" w:cs="宋体"/>
          <w:color w:val="000000"/>
          <w:sz w:val="24"/>
        </w:rPr>
        <w:t>劣质材料，原则上不采购冰冻材料。</w:t>
      </w:r>
    </w:p>
    <w:p w14:paraId="5561BC7A">
      <w:pPr>
        <w:pStyle w:val="12"/>
        <w:ind w:firstLine="480"/>
        <w:jc w:val="both"/>
        <w:rPr>
          <w:rFonts w:hint="default"/>
        </w:rPr>
      </w:pPr>
      <w:r>
        <w:rPr>
          <w:rFonts w:ascii="宋体" w:hAnsi="宋体" w:eastAsia="宋体" w:cs="宋体"/>
          <w:color w:val="000000"/>
          <w:sz w:val="24"/>
        </w:rPr>
        <w:t>2</w:t>
      </w:r>
      <w:r>
        <w:rPr>
          <w:rFonts w:hint="eastAsia" w:ascii="宋体" w:hAnsi="宋体" w:eastAsia="宋体" w:cs="宋体"/>
          <w:color w:val="000000"/>
          <w:sz w:val="24"/>
          <w:lang w:val="en-US" w:eastAsia="zh-CN"/>
        </w:rPr>
        <w:t>.</w:t>
      </w:r>
      <w:r>
        <w:rPr>
          <w:rFonts w:ascii="宋体" w:hAnsi="宋体" w:eastAsia="宋体" w:cs="宋体"/>
          <w:color w:val="000000"/>
          <w:sz w:val="24"/>
        </w:rPr>
        <w:t>根据《中华人民共和国食品安全法》的规定成交供应商须为本项目购买食品安全责任险。</w:t>
      </w:r>
    </w:p>
    <w:p w14:paraId="27CD6832">
      <w:pPr>
        <w:pStyle w:val="12"/>
        <w:ind w:firstLine="480"/>
        <w:jc w:val="both"/>
        <w:rPr>
          <w:rFonts w:hint="default" w:ascii="宋体" w:hAnsi="宋体" w:eastAsia="宋体" w:cs="宋体"/>
          <w:sz w:val="24"/>
        </w:rPr>
      </w:pPr>
      <w:r>
        <w:rPr>
          <w:rFonts w:ascii="宋体" w:hAnsi="宋体" w:eastAsia="宋体" w:cs="宋体"/>
          <w:sz w:val="24"/>
        </w:rPr>
        <w:t>3</w:t>
      </w:r>
      <w:r>
        <w:rPr>
          <w:rFonts w:hint="eastAsia" w:ascii="宋体" w:hAnsi="宋体" w:eastAsia="宋体" w:cs="宋体"/>
          <w:sz w:val="24"/>
          <w:lang w:val="en-US" w:eastAsia="zh-CN"/>
        </w:rPr>
        <w:t>.</w:t>
      </w:r>
      <w:r>
        <w:rPr>
          <w:rFonts w:ascii="宋体" w:hAnsi="宋体" w:eastAsia="宋体" w:cs="宋体"/>
          <w:color w:val="000000"/>
          <w:sz w:val="24"/>
        </w:rPr>
        <w:t>成交供应商投入本项目的所有工作人员必须持有有效的《四川省从业人员预防性体检合格证》</w:t>
      </w:r>
      <w:r>
        <w:rPr>
          <w:rFonts w:ascii="宋体" w:hAnsi="宋体" w:eastAsia="宋体" w:cs="宋体"/>
          <w:sz w:val="24"/>
        </w:rPr>
        <w:t>。</w:t>
      </w:r>
    </w:p>
    <w:p w14:paraId="600FA138">
      <w:pPr>
        <w:pStyle w:val="12"/>
        <w:ind w:firstLine="480"/>
        <w:jc w:val="both"/>
        <w:rPr>
          <w:rFonts w:hint="default" w:ascii="宋体" w:hAnsi="宋体" w:eastAsia="宋体" w:cs="宋体"/>
          <w:b/>
          <w:color w:val="000000"/>
          <w:sz w:val="24"/>
          <w:lang w:eastAsia="zh-CN"/>
        </w:rPr>
      </w:pPr>
      <w:r>
        <w:rPr>
          <w:rFonts w:ascii="宋体" w:hAnsi="宋体" w:eastAsia="宋体" w:cs="宋体"/>
          <w:sz w:val="24"/>
          <w:lang w:eastAsia="zh-CN"/>
        </w:rPr>
        <w:t>4</w:t>
      </w:r>
      <w:r>
        <w:rPr>
          <w:rFonts w:hint="eastAsia" w:ascii="宋体" w:hAnsi="宋体" w:eastAsia="宋体" w:cs="宋体"/>
          <w:sz w:val="24"/>
          <w:lang w:val="en-US" w:eastAsia="zh-CN"/>
        </w:rPr>
        <w:t>.</w:t>
      </w:r>
      <w:r>
        <w:rPr>
          <w:rFonts w:ascii="宋体" w:hAnsi="宋体" w:eastAsia="宋体" w:cs="宋体"/>
          <w:color w:val="000000"/>
          <w:sz w:val="24"/>
        </w:rPr>
        <w:t>成交供应商</w:t>
      </w:r>
      <w:r>
        <w:rPr>
          <w:rFonts w:ascii="宋体" w:hAnsi="宋体" w:eastAsia="宋体" w:cs="宋体"/>
          <w:color w:val="000000"/>
          <w:sz w:val="24"/>
          <w:lang w:eastAsia="zh-CN"/>
        </w:rPr>
        <w:t>承担食堂经营安全事故责任承诺函。</w:t>
      </w:r>
    </w:p>
    <w:p w14:paraId="234FB151">
      <w:pPr>
        <w:pStyle w:val="12"/>
        <w:ind w:firstLine="241" w:firstLineChars="100"/>
        <w:jc w:val="both"/>
        <w:rPr>
          <w:rFonts w:hint="default" w:ascii="宋体" w:hAnsi="宋体" w:eastAsia="宋体" w:cs="宋体"/>
          <w:b/>
          <w:color w:val="000000"/>
          <w:sz w:val="24"/>
        </w:rPr>
      </w:pPr>
      <w:r>
        <w:rPr>
          <w:rFonts w:hint="eastAsia" w:ascii="宋体" w:hAnsi="宋体" w:eastAsia="宋体" w:cs="宋体"/>
          <w:b/>
          <w:color w:val="000000"/>
          <w:sz w:val="24"/>
          <w:lang w:val="en-US" w:eastAsia="zh-CN"/>
        </w:rPr>
        <w:t xml:space="preserve">  </w:t>
      </w:r>
      <w:r>
        <w:rPr>
          <w:rFonts w:ascii="宋体" w:hAnsi="宋体" w:eastAsia="宋体" w:cs="宋体"/>
          <w:b/>
          <w:color w:val="000000"/>
          <w:sz w:val="24"/>
        </w:rPr>
        <w:t>六</w:t>
      </w:r>
      <w:r>
        <w:rPr>
          <w:rFonts w:hint="eastAsia" w:ascii="宋体" w:hAnsi="宋体" w:eastAsia="宋体" w:cs="宋体"/>
          <w:b/>
          <w:color w:val="000000"/>
          <w:sz w:val="24"/>
          <w:lang w:eastAsia="zh-CN"/>
        </w:rPr>
        <w:t>、</w:t>
      </w:r>
      <w:r>
        <w:rPr>
          <w:rFonts w:ascii="宋体" w:hAnsi="宋体" w:eastAsia="宋体" w:cs="宋体"/>
          <w:b/>
          <w:color w:val="000000"/>
          <w:sz w:val="24"/>
        </w:rPr>
        <w:t>履约能力要求</w:t>
      </w:r>
    </w:p>
    <w:p w14:paraId="0A30ACDF">
      <w:pPr>
        <w:pStyle w:val="12"/>
        <w:ind w:firstLine="480" w:firstLineChars="200"/>
        <w:jc w:val="both"/>
        <w:rPr>
          <w:rFonts w:hint="default" w:ascii="宋体" w:hAnsi="宋体" w:eastAsia="宋体" w:cs="宋体"/>
          <w:sz w:val="24"/>
        </w:rPr>
      </w:pPr>
      <w:r>
        <w:rPr>
          <w:rFonts w:ascii="宋体" w:hAnsi="宋体" w:eastAsia="宋体" w:cs="宋体"/>
          <w:sz w:val="24"/>
        </w:rPr>
        <w:t>1.供应商根据针对本项目拟出</w:t>
      </w:r>
      <w:r>
        <w:rPr>
          <w:rFonts w:hint="default" w:ascii="宋体" w:hAnsi="宋体" w:eastAsia="宋体" w:cs="宋体"/>
          <w:sz w:val="24"/>
          <w:lang w:eastAsia="zh-CN"/>
        </w:rPr>
        <w:t>各项制度</w:t>
      </w:r>
      <w:r>
        <w:rPr>
          <w:rFonts w:ascii="宋体" w:hAnsi="宋体" w:eastAsia="宋体" w:cs="宋体"/>
          <w:sz w:val="24"/>
          <w:lang w:eastAsia="zh-CN"/>
        </w:rPr>
        <w:t>职责</w:t>
      </w:r>
      <w:r>
        <w:rPr>
          <w:rFonts w:ascii="宋体" w:hAnsi="宋体" w:eastAsia="宋体" w:cs="宋体"/>
          <w:sz w:val="24"/>
        </w:rPr>
        <w:t>包含：①</w:t>
      </w:r>
      <w:r>
        <w:rPr>
          <w:rFonts w:ascii="宋体" w:hAnsi="宋体" w:eastAsia="宋体" w:cs="宋体"/>
          <w:sz w:val="24"/>
          <w:lang w:eastAsia="zh-CN"/>
        </w:rPr>
        <w:t>食品</w:t>
      </w:r>
      <w:r>
        <w:rPr>
          <w:rFonts w:hint="default" w:ascii="宋体" w:hAnsi="宋体" w:eastAsia="宋体" w:cs="宋体"/>
          <w:sz w:val="24"/>
          <w:lang w:eastAsia="zh-CN"/>
        </w:rPr>
        <w:t>安全管理制度、</w:t>
      </w:r>
      <w:r>
        <w:rPr>
          <w:rFonts w:ascii="宋体" w:hAnsi="宋体" w:eastAsia="宋体" w:cs="宋体"/>
          <w:sz w:val="24"/>
        </w:rPr>
        <w:t>②</w:t>
      </w:r>
      <w:r>
        <w:rPr>
          <w:rFonts w:ascii="宋体" w:hAnsi="宋体" w:eastAsia="宋体" w:cs="宋体"/>
          <w:sz w:val="24"/>
          <w:lang w:eastAsia="zh-CN"/>
        </w:rPr>
        <w:t>原材料采购及管理制度、</w:t>
      </w:r>
      <w:r>
        <w:rPr>
          <w:rFonts w:ascii="宋体" w:hAnsi="宋体" w:eastAsia="宋体" w:cs="宋体"/>
          <w:sz w:val="24"/>
        </w:rPr>
        <w:t>③</w:t>
      </w:r>
      <w:r>
        <w:rPr>
          <w:rFonts w:ascii="宋体" w:hAnsi="宋体" w:eastAsia="宋体" w:cs="宋体"/>
          <w:sz w:val="24"/>
          <w:lang w:eastAsia="zh-CN"/>
        </w:rPr>
        <w:t>营养健康管理制度、</w:t>
      </w:r>
      <w:r>
        <w:rPr>
          <w:rFonts w:ascii="宋体" w:hAnsi="宋体" w:eastAsia="宋体" w:cs="宋体"/>
          <w:sz w:val="24"/>
        </w:rPr>
        <w:t>④</w:t>
      </w:r>
      <w:r>
        <w:rPr>
          <w:rFonts w:hint="default" w:ascii="宋体" w:hAnsi="宋体" w:eastAsia="宋体" w:cs="宋体"/>
          <w:sz w:val="24"/>
          <w:lang w:eastAsia="zh-CN"/>
        </w:rPr>
        <w:t>环境卫生</w:t>
      </w:r>
      <w:r>
        <w:rPr>
          <w:rFonts w:ascii="宋体" w:hAnsi="宋体" w:eastAsia="宋体" w:cs="宋体"/>
          <w:sz w:val="24"/>
          <w:lang w:eastAsia="zh-CN"/>
        </w:rPr>
        <w:t>管理</w:t>
      </w:r>
      <w:r>
        <w:rPr>
          <w:rFonts w:hint="default" w:ascii="宋体" w:hAnsi="宋体" w:eastAsia="宋体" w:cs="宋体"/>
          <w:sz w:val="24"/>
          <w:lang w:eastAsia="zh-CN"/>
        </w:rPr>
        <w:t>制度、</w:t>
      </w:r>
      <w:r>
        <w:rPr>
          <w:rFonts w:ascii="宋体" w:hAnsi="宋体" w:eastAsia="宋体" w:cs="宋体"/>
          <w:sz w:val="24"/>
        </w:rPr>
        <w:t>⑤</w:t>
      </w:r>
      <w:r>
        <w:rPr>
          <w:rFonts w:ascii="宋体" w:hAnsi="宋体" w:eastAsia="宋体" w:cs="宋体"/>
          <w:sz w:val="24"/>
          <w:lang w:eastAsia="zh-CN"/>
        </w:rPr>
        <w:t>人员职责及</w:t>
      </w:r>
      <w:r>
        <w:rPr>
          <w:rFonts w:hint="default" w:ascii="宋体" w:hAnsi="宋体" w:eastAsia="宋体" w:cs="宋体"/>
          <w:sz w:val="24"/>
          <w:lang w:eastAsia="zh-CN"/>
        </w:rPr>
        <w:t>培训</w:t>
      </w:r>
      <w:r>
        <w:rPr>
          <w:rFonts w:ascii="宋体" w:hAnsi="宋体" w:eastAsia="宋体" w:cs="宋体"/>
          <w:sz w:val="24"/>
          <w:lang w:eastAsia="zh-CN"/>
        </w:rPr>
        <w:t>与考核</w:t>
      </w:r>
      <w:r>
        <w:rPr>
          <w:rFonts w:hint="default" w:ascii="宋体" w:hAnsi="宋体" w:eastAsia="宋体" w:cs="宋体"/>
          <w:sz w:val="24"/>
          <w:lang w:eastAsia="zh-CN"/>
        </w:rPr>
        <w:t>制度</w:t>
      </w:r>
      <w:r>
        <w:rPr>
          <w:rFonts w:ascii="宋体" w:hAnsi="宋体" w:eastAsia="宋体" w:cs="宋体"/>
          <w:sz w:val="24"/>
          <w:lang w:eastAsia="zh-CN"/>
        </w:rPr>
        <w:t>（食堂负责人、营养指导人员、厨师、服务员等</w:t>
      </w:r>
      <w:r>
        <w:rPr>
          <w:rFonts w:hint="default" w:ascii="宋体" w:hAnsi="宋体" w:eastAsia="宋体" w:cs="宋体"/>
          <w:sz w:val="24"/>
          <w:lang w:eastAsia="zh-CN"/>
        </w:rPr>
        <w:t>）</w:t>
      </w:r>
    </w:p>
    <w:p w14:paraId="3FFEBE59">
      <w:pPr>
        <w:pStyle w:val="12"/>
        <w:ind w:firstLine="480"/>
        <w:jc w:val="both"/>
        <w:rPr>
          <w:rFonts w:hint="default"/>
        </w:rPr>
      </w:pPr>
      <w:r>
        <w:rPr>
          <w:rFonts w:ascii="宋体" w:hAnsi="宋体" w:eastAsia="宋体" w:cs="宋体"/>
          <w:sz w:val="24"/>
        </w:rPr>
        <w:t>2.供应商根据针对本项目拟出</w:t>
      </w:r>
      <w:r>
        <w:rPr>
          <w:rFonts w:hint="default" w:ascii="宋体" w:hAnsi="宋体" w:eastAsia="宋体" w:cs="宋体"/>
          <w:sz w:val="24"/>
          <w:lang w:eastAsia="zh-CN"/>
        </w:rPr>
        <w:t>服务承诺包含：</w:t>
      </w:r>
      <w:r>
        <w:rPr>
          <w:rFonts w:ascii="宋体" w:hAnsi="宋体" w:eastAsia="宋体" w:cs="宋体"/>
          <w:sz w:val="24"/>
        </w:rPr>
        <w:t>①</w:t>
      </w:r>
      <w:r>
        <w:rPr>
          <w:rFonts w:ascii="宋体" w:hAnsi="宋体" w:eastAsia="宋体" w:cs="宋体"/>
          <w:sz w:val="24"/>
          <w:lang w:eastAsia="zh-CN"/>
        </w:rPr>
        <w:t>食品</w:t>
      </w:r>
      <w:r>
        <w:rPr>
          <w:rFonts w:hint="default" w:ascii="宋体" w:hAnsi="宋体" w:eastAsia="宋体" w:cs="宋体"/>
          <w:sz w:val="24"/>
          <w:lang w:eastAsia="zh-CN"/>
        </w:rPr>
        <w:t>质量、</w:t>
      </w:r>
      <w:r>
        <w:rPr>
          <w:rFonts w:ascii="宋体" w:hAnsi="宋体" w:eastAsia="宋体" w:cs="宋体"/>
          <w:sz w:val="24"/>
        </w:rPr>
        <w:t>②</w:t>
      </w:r>
      <w:r>
        <w:rPr>
          <w:rFonts w:ascii="宋体" w:hAnsi="宋体" w:eastAsia="宋体" w:cs="宋体"/>
          <w:sz w:val="24"/>
          <w:lang w:eastAsia="zh-CN"/>
        </w:rPr>
        <w:t>食品</w:t>
      </w:r>
      <w:r>
        <w:rPr>
          <w:rFonts w:hint="default" w:ascii="宋体" w:hAnsi="宋体" w:eastAsia="宋体" w:cs="宋体"/>
          <w:sz w:val="24"/>
          <w:lang w:eastAsia="zh-CN"/>
        </w:rPr>
        <w:t>价格、</w:t>
      </w:r>
      <w:r>
        <w:rPr>
          <w:rFonts w:ascii="宋体" w:hAnsi="宋体" w:eastAsia="宋体" w:cs="宋体"/>
          <w:sz w:val="24"/>
        </w:rPr>
        <w:t>③</w:t>
      </w:r>
      <w:r>
        <w:rPr>
          <w:rFonts w:ascii="宋体" w:hAnsi="宋体" w:eastAsia="宋体" w:cs="宋体"/>
          <w:sz w:val="24"/>
          <w:lang w:eastAsia="zh-CN"/>
        </w:rPr>
        <w:t>环境卫生、</w:t>
      </w:r>
      <w:r>
        <w:rPr>
          <w:rFonts w:ascii="宋体" w:hAnsi="宋体" w:eastAsia="宋体" w:cs="宋体"/>
          <w:sz w:val="24"/>
        </w:rPr>
        <w:t>④</w:t>
      </w:r>
      <w:r>
        <w:rPr>
          <w:rFonts w:hint="default" w:ascii="宋体" w:hAnsi="宋体" w:eastAsia="宋体" w:cs="宋体"/>
          <w:sz w:val="24"/>
          <w:lang w:eastAsia="zh-CN"/>
        </w:rPr>
        <w:t>食堂安全</w:t>
      </w:r>
      <w:r>
        <w:rPr>
          <w:rFonts w:ascii="宋体" w:hAnsi="宋体" w:eastAsia="宋体" w:cs="宋体"/>
          <w:sz w:val="24"/>
          <w:lang w:eastAsia="zh-CN"/>
        </w:rPr>
        <w:t>、</w:t>
      </w:r>
      <w:r>
        <w:rPr>
          <w:rFonts w:ascii="宋体" w:hAnsi="宋体" w:eastAsia="宋体" w:cs="宋体"/>
          <w:sz w:val="24"/>
        </w:rPr>
        <w:t>⑤</w:t>
      </w:r>
      <w:r>
        <w:rPr>
          <w:rFonts w:hint="default" w:ascii="宋体" w:hAnsi="宋体" w:eastAsia="宋体" w:cs="宋体"/>
          <w:sz w:val="24"/>
          <w:lang w:eastAsia="zh-CN"/>
        </w:rPr>
        <w:t>服务态度等</w:t>
      </w:r>
      <w:r>
        <w:rPr>
          <w:rFonts w:ascii="宋体" w:hAnsi="宋体" w:eastAsia="宋体" w:cs="宋体"/>
          <w:sz w:val="24"/>
          <w:lang w:eastAsia="zh-CN"/>
        </w:rPr>
        <w:t>；</w:t>
      </w:r>
    </w:p>
    <w:p w14:paraId="0A8DA3C1">
      <w:pPr>
        <w:pStyle w:val="12"/>
        <w:ind w:firstLine="480"/>
        <w:jc w:val="both"/>
        <w:rPr>
          <w:rFonts w:hint="default"/>
        </w:rPr>
      </w:pPr>
      <w:r>
        <w:rPr>
          <w:rFonts w:ascii="宋体" w:hAnsi="宋体" w:eastAsia="宋体" w:cs="宋体"/>
          <w:sz w:val="24"/>
          <w:lang w:eastAsia="zh-CN"/>
        </w:rPr>
        <w:t>3</w:t>
      </w:r>
      <w:r>
        <w:rPr>
          <w:rFonts w:ascii="宋体" w:hAnsi="宋体" w:eastAsia="宋体" w:cs="宋体"/>
          <w:sz w:val="24"/>
        </w:rPr>
        <w:t>.</w:t>
      </w:r>
      <w:r>
        <w:rPr>
          <w:rFonts w:hint="default" w:ascii="宋体" w:hAnsi="宋体" w:eastAsia="宋体" w:cs="宋体"/>
          <w:sz w:val="24"/>
          <w:lang w:eastAsia="zh-CN"/>
        </w:rPr>
        <w:t>人员组成</w:t>
      </w:r>
      <w:r>
        <w:rPr>
          <w:rFonts w:ascii="宋体" w:hAnsi="宋体" w:eastAsia="宋体" w:cs="宋体"/>
          <w:sz w:val="24"/>
        </w:rPr>
        <w:t>：包括①人员分工、②现场人员工作安排计划；</w:t>
      </w:r>
    </w:p>
    <w:p w14:paraId="20B53437">
      <w:pPr>
        <w:pStyle w:val="12"/>
        <w:ind w:firstLine="480"/>
        <w:jc w:val="both"/>
        <w:rPr>
          <w:rFonts w:hint="default" w:ascii="宋体" w:hAnsi="宋体" w:eastAsia="宋体" w:cs="宋体"/>
          <w:sz w:val="24"/>
          <w:lang w:eastAsia="zh-CN"/>
        </w:rPr>
      </w:pPr>
      <w:r>
        <w:rPr>
          <w:rFonts w:ascii="宋体" w:hAnsi="宋体" w:eastAsia="宋体" w:cs="宋体"/>
          <w:sz w:val="24"/>
          <w:lang w:eastAsia="zh-CN"/>
        </w:rPr>
        <w:t>4.</w:t>
      </w:r>
      <w:r>
        <w:rPr>
          <w:rFonts w:hint="default" w:ascii="宋体" w:hAnsi="宋体" w:eastAsia="宋体" w:cs="宋体"/>
          <w:sz w:val="24"/>
          <w:lang w:eastAsia="zh-CN"/>
        </w:rPr>
        <w:t>食堂经营管理方案</w:t>
      </w:r>
      <w:r>
        <w:rPr>
          <w:rFonts w:ascii="宋体" w:hAnsi="宋体" w:eastAsia="宋体" w:cs="宋体"/>
          <w:sz w:val="24"/>
        </w:rPr>
        <w:t>：①</w:t>
      </w:r>
      <w:r>
        <w:rPr>
          <w:rFonts w:hint="default" w:ascii="宋体" w:hAnsi="宋体" w:eastAsia="宋体" w:cs="宋体"/>
          <w:sz w:val="24"/>
          <w:lang w:eastAsia="zh-CN"/>
        </w:rPr>
        <w:t>食堂原材料采购方案、②食堂原材料管理方案</w:t>
      </w:r>
      <w:r>
        <w:rPr>
          <w:rFonts w:ascii="宋体" w:hAnsi="宋体" w:eastAsia="宋体" w:cs="宋体"/>
          <w:sz w:val="24"/>
          <w:lang w:eastAsia="zh-CN"/>
        </w:rPr>
        <w:t>、</w:t>
      </w:r>
      <w:r>
        <w:rPr>
          <w:rFonts w:ascii="宋体" w:hAnsi="宋体" w:eastAsia="宋体" w:cs="宋体"/>
          <w:sz w:val="24"/>
        </w:rPr>
        <w:t>③</w:t>
      </w:r>
      <w:r>
        <w:rPr>
          <w:rFonts w:hint="default" w:ascii="宋体" w:hAnsi="宋体" w:eastAsia="宋体" w:cs="宋体"/>
          <w:sz w:val="24"/>
          <w:lang w:eastAsia="zh-CN"/>
        </w:rPr>
        <w:t>食堂环境卫生管理方案</w:t>
      </w:r>
      <w:r>
        <w:rPr>
          <w:rFonts w:ascii="宋体" w:hAnsi="宋体" w:eastAsia="宋体" w:cs="宋体"/>
          <w:sz w:val="24"/>
          <w:lang w:eastAsia="zh-CN"/>
        </w:rPr>
        <w:t>、</w:t>
      </w:r>
      <w:r>
        <w:rPr>
          <w:rFonts w:ascii="宋体" w:hAnsi="宋体" w:eastAsia="宋体" w:cs="宋体"/>
          <w:sz w:val="24"/>
        </w:rPr>
        <w:t>④</w:t>
      </w:r>
      <w:r>
        <w:rPr>
          <w:rFonts w:hint="default" w:ascii="宋体" w:hAnsi="宋体" w:eastAsia="宋体" w:cs="宋体"/>
          <w:sz w:val="24"/>
          <w:lang w:eastAsia="zh-CN"/>
        </w:rPr>
        <w:t>食</w:t>
      </w:r>
      <w:r>
        <w:rPr>
          <w:rFonts w:ascii="宋体" w:hAnsi="宋体" w:eastAsia="宋体" w:cs="宋体"/>
          <w:sz w:val="24"/>
          <w:lang w:eastAsia="zh-CN"/>
        </w:rPr>
        <w:t>堂</w:t>
      </w:r>
      <w:r>
        <w:rPr>
          <w:rFonts w:hint="default" w:ascii="宋体" w:hAnsi="宋体" w:eastAsia="宋体" w:cs="宋体"/>
          <w:sz w:val="24"/>
          <w:lang w:eastAsia="zh-CN"/>
        </w:rPr>
        <w:t>安全管理方案</w:t>
      </w:r>
      <w:r>
        <w:rPr>
          <w:rFonts w:ascii="宋体" w:hAnsi="宋体" w:eastAsia="宋体" w:cs="宋体"/>
          <w:sz w:val="24"/>
          <w:lang w:eastAsia="zh-CN"/>
        </w:rPr>
        <w:t>、</w:t>
      </w:r>
      <w:r>
        <w:rPr>
          <w:rFonts w:ascii="宋体" w:hAnsi="宋体" w:eastAsia="宋体" w:cs="宋体"/>
          <w:sz w:val="24"/>
        </w:rPr>
        <w:t>⑤</w:t>
      </w:r>
      <w:r>
        <w:rPr>
          <w:rFonts w:ascii="宋体" w:hAnsi="宋体" w:eastAsia="宋体" w:cs="宋体"/>
          <w:sz w:val="24"/>
          <w:lang w:eastAsia="zh-CN"/>
        </w:rPr>
        <w:t>食堂应急管理方案、</w:t>
      </w:r>
      <w:r>
        <w:rPr>
          <w:rFonts w:ascii="宋体" w:hAnsi="宋体" w:eastAsia="宋体" w:cs="宋体"/>
          <w:sz w:val="24"/>
        </w:rPr>
        <w:t>⑥</w:t>
      </w:r>
      <w:r>
        <w:rPr>
          <w:rFonts w:hint="default" w:ascii="宋体" w:hAnsi="宋体" w:eastAsia="宋体" w:cs="宋体"/>
          <w:sz w:val="24"/>
          <w:lang w:eastAsia="zh-CN"/>
        </w:rPr>
        <w:t>配送餐方案</w:t>
      </w:r>
      <w:r>
        <w:rPr>
          <w:rFonts w:ascii="宋体" w:hAnsi="宋体" w:eastAsia="宋体" w:cs="宋体"/>
          <w:sz w:val="24"/>
          <w:lang w:eastAsia="zh-CN"/>
        </w:rPr>
        <w:t>、</w:t>
      </w:r>
      <w:r>
        <w:rPr>
          <w:rFonts w:ascii="宋体" w:hAnsi="宋体" w:eastAsia="宋体" w:cs="宋体"/>
          <w:sz w:val="24"/>
        </w:rPr>
        <w:t>⑦</w:t>
      </w:r>
      <w:r>
        <w:rPr>
          <w:rFonts w:hint="default" w:ascii="宋体" w:hAnsi="宋体" w:eastAsia="宋体" w:cs="宋体"/>
          <w:sz w:val="24"/>
          <w:lang w:eastAsia="zh-CN"/>
        </w:rPr>
        <w:t>服务质量控制方案</w:t>
      </w:r>
      <w:r>
        <w:rPr>
          <w:rFonts w:ascii="宋体" w:hAnsi="宋体" w:eastAsia="宋体" w:cs="宋体"/>
          <w:sz w:val="24"/>
          <w:lang w:eastAsia="zh-CN"/>
        </w:rPr>
        <w:t>；</w:t>
      </w:r>
    </w:p>
    <w:p w14:paraId="0178C079">
      <w:pPr>
        <w:pStyle w:val="12"/>
        <w:ind w:firstLine="480"/>
        <w:jc w:val="both"/>
        <w:rPr>
          <w:rFonts w:hint="default" w:ascii="宋体" w:hAnsi="宋体" w:eastAsia="宋体" w:cs="宋体"/>
          <w:sz w:val="24"/>
          <w:lang w:eastAsia="zh-CN"/>
        </w:rPr>
      </w:pPr>
      <w:r>
        <w:rPr>
          <w:rFonts w:ascii="宋体" w:hAnsi="宋体" w:eastAsia="宋体" w:cs="宋体"/>
          <w:sz w:val="24"/>
          <w:lang w:eastAsia="zh-CN"/>
        </w:rPr>
        <w:t>5</w:t>
      </w:r>
      <w:r>
        <w:rPr>
          <w:rFonts w:hint="default" w:ascii="宋体" w:hAnsi="宋体" w:eastAsia="宋体" w:cs="宋体"/>
          <w:sz w:val="24"/>
          <w:lang w:eastAsia="zh-CN"/>
        </w:rPr>
        <w:t>.类似业绩：</w:t>
      </w:r>
      <w:r>
        <w:rPr>
          <w:rFonts w:ascii="宋体" w:hAnsi="宋体" w:eastAsia="宋体" w:cs="宋体"/>
          <w:sz w:val="24"/>
          <w:lang w:eastAsia="zh-CN"/>
        </w:rPr>
        <w:t>包括</w:t>
      </w:r>
      <w:r>
        <w:rPr>
          <w:rFonts w:hint="default" w:ascii="宋体" w:hAnsi="宋体" w:eastAsia="宋体" w:cs="宋体"/>
          <w:sz w:val="24"/>
          <w:lang w:eastAsia="zh-CN"/>
        </w:rPr>
        <w:t>食堂服务管理经验</w:t>
      </w:r>
      <w:r>
        <w:rPr>
          <w:rFonts w:ascii="宋体" w:hAnsi="宋体" w:eastAsia="宋体" w:cs="宋体"/>
          <w:sz w:val="24"/>
          <w:lang w:eastAsia="zh-CN"/>
        </w:rPr>
        <w:t>、营养膳食制作经验、营养健康食堂建设经验。</w:t>
      </w:r>
    </w:p>
    <w:p w14:paraId="56166BFD">
      <w:pPr>
        <w:pStyle w:val="12"/>
        <w:ind w:firstLine="241" w:firstLineChars="100"/>
        <w:jc w:val="both"/>
        <w:rPr>
          <w:rFonts w:hint="default" w:eastAsia="宋体"/>
          <w:lang w:eastAsia="zh-CN"/>
        </w:rPr>
      </w:pPr>
      <w:r>
        <w:rPr>
          <w:rFonts w:hint="eastAsia" w:ascii="宋体" w:hAnsi="宋体" w:eastAsia="宋体" w:cs="宋体"/>
          <w:b/>
          <w:color w:val="000000"/>
          <w:sz w:val="24"/>
          <w:lang w:val="en-US" w:eastAsia="zh-CN"/>
        </w:rPr>
        <w:t xml:space="preserve">  </w:t>
      </w:r>
      <w:r>
        <w:rPr>
          <w:rFonts w:ascii="宋体" w:hAnsi="宋体" w:eastAsia="宋体" w:cs="宋体"/>
          <w:b/>
          <w:color w:val="000000"/>
          <w:sz w:val="24"/>
          <w:lang w:eastAsia="zh-CN"/>
        </w:rPr>
        <w:t>七</w:t>
      </w:r>
      <w:r>
        <w:rPr>
          <w:rFonts w:hint="eastAsia" w:ascii="宋体" w:hAnsi="宋体" w:eastAsia="宋体" w:cs="宋体"/>
          <w:b/>
          <w:color w:val="000000"/>
          <w:sz w:val="24"/>
          <w:lang w:eastAsia="zh-CN"/>
        </w:rPr>
        <w:t>、</w:t>
      </w:r>
      <w:r>
        <w:rPr>
          <w:rFonts w:ascii="宋体" w:hAnsi="宋体" w:eastAsia="宋体" w:cs="宋体"/>
          <w:b/>
          <w:color w:val="000000"/>
          <w:sz w:val="24"/>
          <w:lang w:eastAsia="zh-CN"/>
        </w:rPr>
        <w:t>考核标准</w:t>
      </w:r>
      <w:r>
        <w:rPr>
          <w:rFonts w:ascii="宋体" w:hAnsi="宋体" w:eastAsia="宋体" w:cs="宋体"/>
          <w:b/>
          <w:color w:val="000000"/>
          <w:sz w:val="24"/>
        </w:rPr>
        <w:t>和</w:t>
      </w:r>
      <w:r>
        <w:rPr>
          <w:rFonts w:ascii="宋体" w:hAnsi="宋体" w:eastAsia="宋体" w:cs="宋体"/>
          <w:b/>
          <w:color w:val="000000"/>
          <w:sz w:val="24"/>
          <w:lang w:eastAsia="zh-CN"/>
        </w:rPr>
        <w:t>结果运用</w:t>
      </w:r>
    </w:p>
    <w:p w14:paraId="7E8B8922">
      <w:pPr>
        <w:pStyle w:val="12"/>
        <w:ind w:firstLine="480"/>
        <w:rPr>
          <w:rFonts w:hint="default" w:ascii="宋体" w:hAnsi="宋体" w:eastAsia="宋体" w:cs="宋体"/>
          <w:sz w:val="24"/>
        </w:rPr>
      </w:pPr>
      <w:r>
        <w:rPr>
          <w:rFonts w:ascii="仿宋" w:hAnsi="仿宋" w:eastAsia="仿宋" w:cs="仿宋"/>
          <w:sz w:val="24"/>
        </w:rPr>
        <w:t>采</w:t>
      </w:r>
      <w:r>
        <w:rPr>
          <w:rFonts w:ascii="宋体" w:hAnsi="宋体" w:eastAsia="宋体" w:cs="宋体"/>
          <w:sz w:val="24"/>
        </w:rPr>
        <w:t>购人</w:t>
      </w:r>
      <w:r>
        <w:rPr>
          <w:rFonts w:ascii="宋体" w:hAnsi="宋体" w:eastAsia="宋体" w:cs="宋体"/>
          <w:sz w:val="24"/>
          <w:lang w:eastAsia="zh-CN"/>
        </w:rPr>
        <w:t>成立营养健康管理委员会，每月负责按照《邻水县人民医院食堂外包服务考核标准》对医院食堂外包服务进行考核</w:t>
      </w:r>
      <w:r>
        <w:rPr>
          <w:rFonts w:hint="eastAsia" w:ascii="宋体" w:hAnsi="宋体" w:eastAsia="宋体" w:cs="宋体"/>
          <w:sz w:val="24"/>
          <w:lang w:val="en-US" w:eastAsia="zh-CN"/>
        </w:rPr>
        <w:t>和</w:t>
      </w:r>
      <w:r>
        <w:rPr>
          <w:rFonts w:ascii="宋体" w:hAnsi="宋体" w:eastAsia="宋体" w:cs="宋体"/>
          <w:color w:val="000000" w:themeColor="text1"/>
          <w:sz w:val="24"/>
          <w:lang w:eastAsia="zh-CN"/>
          <w14:textFill>
            <w14:solidFill>
              <w14:schemeClr w14:val="tx1"/>
            </w14:solidFill>
          </w14:textFill>
        </w:rPr>
        <w:t>结果运用</w:t>
      </w:r>
      <w:r>
        <w:rPr>
          <w:rFonts w:ascii="宋体" w:hAnsi="宋体" w:eastAsia="宋体" w:cs="宋体"/>
          <w:color w:val="auto"/>
          <w:sz w:val="24"/>
          <w:lang w:eastAsia="zh-CN"/>
        </w:rPr>
        <w:t>。</w:t>
      </w:r>
    </w:p>
    <w:p w14:paraId="43C19B23">
      <w:pPr>
        <w:pStyle w:val="12"/>
        <w:jc w:val="center"/>
        <w:rPr>
          <w:rFonts w:hint="default" w:eastAsia="仿宋"/>
          <w:b/>
          <w:bCs/>
          <w:lang w:eastAsia="zh-CN"/>
        </w:rPr>
      </w:pPr>
      <w:r>
        <w:rPr>
          <w:rFonts w:ascii="宋体" w:hAnsi="宋体" w:eastAsia="宋体" w:cs="宋体"/>
          <w:b/>
          <w:bCs/>
          <w:sz w:val="24"/>
          <w:lang w:eastAsia="zh-CN"/>
        </w:rPr>
        <w:t>邻水县人民医院食堂外包服务考核标准</w:t>
      </w:r>
    </w:p>
    <w:tbl>
      <w:tblPr>
        <w:tblStyle w:val="8"/>
        <w:tblW w:w="9098"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86"/>
        <w:gridCol w:w="4825"/>
        <w:gridCol w:w="2237"/>
        <w:gridCol w:w="750"/>
      </w:tblGrid>
      <w:tr w14:paraId="15A209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2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03F8900">
            <w:pPr>
              <w:widowControl/>
              <w:spacing w:line="280" w:lineRule="exact"/>
              <w:jc w:val="center"/>
              <w:textAlignment w:val="baseline"/>
            </w:pPr>
            <w:r>
              <w:rPr>
                <w:rFonts w:hint="eastAsia"/>
              </w:rPr>
              <w:t>考核项目</w:t>
            </w:r>
          </w:p>
        </w:tc>
        <w:tc>
          <w:tcPr>
            <w:tcW w:w="4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242C9BC">
            <w:pPr>
              <w:widowControl/>
              <w:spacing w:line="280" w:lineRule="exact"/>
              <w:jc w:val="center"/>
              <w:textAlignment w:val="baseline"/>
            </w:pPr>
            <w:r>
              <w:rPr>
                <w:rFonts w:hint="eastAsia"/>
              </w:rPr>
              <w:t>考核具体内容</w:t>
            </w:r>
          </w:p>
        </w:tc>
        <w:tc>
          <w:tcPr>
            <w:tcW w:w="22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709194A">
            <w:pPr>
              <w:widowControl/>
              <w:spacing w:line="280" w:lineRule="exact"/>
              <w:jc w:val="center"/>
              <w:textAlignment w:val="baseline"/>
            </w:pPr>
            <w:r>
              <w:rPr>
                <w:rFonts w:hint="eastAsia"/>
              </w:rPr>
              <w:t>评分标准</w:t>
            </w:r>
          </w:p>
        </w:tc>
        <w:tc>
          <w:tcPr>
            <w:tcW w:w="7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7A68701">
            <w:pPr>
              <w:widowControl/>
              <w:spacing w:line="280" w:lineRule="exact"/>
              <w:jc w:val="center"/>
              <w:rPr>
                <w:sz w:val="20"/>
                <w:szCs w:val="22"/>
              </w:rPr>
            </w:pPr>
            <w:r>
              <w:rPr>
                <w:rFonts w:hint="eastAsia" w:ascii="方正仿宋_GBK" w:hAnsi="方正仿宋_GBK" w:eastAsia="方正仿宋_GBK" w:cs="方正仿宋_GBK"/>
                <w:b/>
                <w:bCs/>
                <w:color w:val="333333"/>
                <w:kern w:val="0"/>
                <w:sz w:val="22"/>
                <w:szCs w:val="22"/>
                <w:lang w:bidi="ar"/>
              </w:rPr>
              <w:t>得分</w:t>
            </w:r>
          </w:p>
        </w:tc>
      </w:tr>
      <w:tr w14:paraId="0D302C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E8F38C7">
            <w:pPr>
              <w:widowControl/>
              <w:spacing w:line="280" w:lineRule="exact"/>
              <w:jc w:val="center"/>
              <w:textAlignment w:val="baseline"/>
            </w:pPr>
            <w:r>
              <w:rPr>
                <w:rFonts w:hint="eastAsia"/>
              </w:rPr>
              <w:t>工作人员</w:t>
            </w:r>
          </w:p>
          <w:p w14:paraId="187EA34B">
            <w:pPr>
              <w:widowControl/>
              <w:spacing w:line="280" w:lineRule="exact"/>
              <w:jc w:val="center"/>
              <w:textAlignment w:val="baseline"/>
            </w:pPr>
            <w:r>
              <w:rPr>
                <w:rFonts w:hint="eastAsia"/>
              </w:rPr>
              <w:t>（6分）</w:t>
            </w:r>
          </w:p>
        </w:tc>
        <w:tc>
          <w:tcPr>
            <w:tcW w:w="4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CE162D2">
            <w:pPr>
              <w:widowControl/>
              <w:spacing w:line="280" w:lineRule="exact"/>
              <w:jc w:val="left"/>
              <w:textAlignment w:val="baseline"/>
            </w:pPr>
            <w:r>
              <w:rPr>
                <w:rFonts w:hint="eastAsia"/>
              </w:rPr>
              <w:t>工作人员持有效证件上岗，着装规范整洁；工作人员数量、资质满足投标文件。</w:t>
            </w:r>
          </w:p>
        </w:tc>
        <w:tc>
          <w:tcPr>
            <w:tcW w:w="22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284BD175">
            <w:pPr>
              <w:widowControl/>
              <w:spacing w:line="280" w:lineRule="exact"/>
              <w:jc w:val="left"/>
              <w:textAlignment w:val="baseline"/>
            </w:pPr>
            <w:r>
              <w:rPr>
                <w:rFonts w:hint="eastAsia"/>
              </w:rPr>
              <w:t>有一项</w:t>
            </w:r>
            <w:r>
              <w:rPr>
                <w:rFonts w:hint="eastAsia"/>
                <w:lang w:val="en-US" w:eastAsia="zh-CN"/>
              </w:rPr>
              <w:t>不符合</w:t>
            </w:r>
            <w:r>
              <w:rPr>
                <w:rFonts w:hint="eastAsia"/>
              </w:rPr>
              <w:t>扣1分</w:t>
            </w:r>
          </w:p>
        </w:tc>
        <w:tc>
          <w:tcPr>
            <w:tcW w:w="7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4DEADA6">
            <w:pPr>
              <w:pStyle w:val="12"/>
              <w:ind w:firstLine="448"/>
              <w:jc w:val="center"/>
              <w:rPr>
                <w:rFonts w:hint="default"/>
              </w:rPr>
            </w:pPr>
          </w:p>
        </w:tc>
      </w:tr>
      <w:tr w14:paraId="3331A6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3AD6D39">
            <w:pPr>
              <w:widowControl/>
              <w:spacing w:line="280" w:lineRule="exact"/>
              <w:jc w:val="center"/>
              <w:textAlignment w:val="baseline"/>
            </w:pPr>
            <w:r>
              <w:rPr>
                <w:rFonts w:hint="eastAsia"/>
              </w:rPr>
              <w:t>原材料采购</w:t>
            </w:r>
          </w:p>
          <w:p w14:paraId="035C736A">
            <w:pPr>
              <w:widowControl/>
              <w:spacing w:line="280" w:lineRule="exact"/>
              <w:jc w:val="center"/>
              <w:textAlignment w:val="baseline"/>
            </w:pPr>
            <w:r>
              <w:rPr>
                <w:rFonts w:hint="eastAsia"/>
              </w:rPr>
              <w:t>（10分）</w:t>
            </w:r>
          </w:p>
        </w:tc>
        <w:tc>
          <w:tcPr>
            <w:tcW w:w="48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BCD7883">
            <w:pPr>
              <w:widowControl/>
              <w:spacing w:line="280" w:lineRule="exact"/>
              <w:jc w:val="left"/>
              <w:textAlignment w:val="baseline"/>
            </w:pPr>
            <w:r>
              <w:rPr>
                <w:rFonts w:hint="eastAsia"/>
              </w:rPr>
              <w:t>米、面、油、肉等主要原材料从正规渠道进货，大件货物与供货商签订供货合同，有合格证或销售许可并建立台账。原材料采购满足投标文件。</w:t>
            </w:r>
          </w:p>
        </w:tc>
        <w:tc>
          <w:tcPr>
            <w:tcW w:w="223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EA1A2BE">
            <w:pPr>
              <w:widowControl/>
              <w:spacing w:line="280" w:lineRule="exact"/>
              <w:jc w:val="left"/>
              <w:textAlignment w:val="baseline"/>
            </w:pPr>
            <w:r>
              <w:rPr>
                <w:rFonts w:hint="eastAsia"/>
              </w:rPr>
              <w:t>有一项</w:t>
            </w:r>
            <w:r>
              <w:rPr>
                <w:rFonts w:hint="eastAsia"/>
                <w:lang w:val="en-US" w:eastAsia="zh-CN"/>
              </w:rPr>
              <w:t>不符合</w:t>
            </w:r>
            <w:r>
              <w:rPr>
                <w:rFonts w:hint="eastAsia"/>
              </w:rPr>
              <w:t>扣1分</w:t>
            </w:r>
          </w:p>
        </w:tc>
        <w:tc>
          <w:tcPr>
            <w:tcW w:w="750" w:type="dxa"/>
            <w:tcBorders>
              <w:top w:val="nil"/>
              <w:left w:val="nil"/>
              <w:bottom w:val="single" w:color="000000" w:sz="4" w:space="0"/>
              <w:right w:val="single" w:color="000000" w:sz="4" w:space="0"/>
            </w:tcBorders>
            <w:tcMar>
              <w:top w:w="0" w:type="dxa"/>
              <w:left w:w="105" w:type="dxa"/>
              <w:bottom w:w="0" w:type="dxa"/>
              <w:right w:w="105" w:type="dxa"/>
            </w:tcMar>
          </w:tcPr>
          <w:p w14:paraId="568D1E9E">
            <w:pPr>
              <w:pStyle w:val="12"/>
              <w:ind w:firstLine="448"/>
              <w:jc w:val="center"/>
              <w:rPr>
                <w:rFonts w:hint="default"/>
              </w:rPr>
            </w:pPr>
          </w:p>
        </w:tc>
      </w:tr>
      <w:tr w14:paraId="313582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6D294C7">
            <w:pPr>
              <w:widowControl/>
              <w:spacing w:line="280" w:lineRule="exact"/>
              <w:jc w:val="center"/>
              <w:textAlignment w:val="baseline"/>
            </w:pPr>
            <w:r>
              <w:rPr>
                <w:rFonts w:hint="eastAsia"/>
              </w:rPr>
              <w:t>原材料管理</w:t>
            </w:r>
          </w:p>
          <w:p w14:paraId="6EB8FEC3">
            <w:pPr>
              <w:widowControl/>
              <w:spacing w:line="280" w:lineRule="exact"/>
              <w:jc w:val="center"/>
              <w:textAlignment w:val="baseline"/>
            </w:pPr>
            <w:r>
              <w:rPr>
                <w:rFonts w:hint="eastAsia"/>
              </w:rPr>
              <w:t>（10）</w:t>
            </w:r>
          </w:p>
        </w:tc>
        <w:tc>
          <w:tcPr>
            <w:tcW w:w="48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C05F767">
            <w:pPr>
              <w:widowControl/>
              <w:spacing w:line="280" w:lineRule="exact"/>
              <w:jc w:val="left"/>
              <w:textAlignment w:val="baseline"/>
            </w:pPr>
            <w:r>
              <w:rPr>
                <w:rFonts w:hint="eastAsia"/>
              </w:rPr>
              <w:t>所有原材料（成品、半成品、生、熟食等）标识清楚分区分类规范存放，剩余有效期≥1/4质保期，蔬菜新鲜、按规范清洗、洁净无污染。原材料管理满足投标文件。</w:t>
            </w:r>
          </w:p>
        </w:tc>
        <w:tc>
          <w:tcPr>
            <w:tcW w:w="223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3DE5B65">
            <w:pPr>
              <w:widowControl/>
              <w:spacing w:line="280" w:lineRule="exact"/>
              <w:jc w:val="left"/>
              <w:textAlignment w:val="baseline"/>
            </w:pPr>
            <w:r>
              <w:rPr>
                <w:rFonts w:hint="eastAsia"/>
              </w:rPr>
              <w:t>有一项</w:t>
            </w:r>
            <w:r>
              <w:rPr>
                <w:rFonts w:hint="eastAsia"/>
                <w:lang w:val="en-US" w:eastAsia="zh-CN"/>
              </w:rPr>
              <w:t>不符合</w:t>
            </w:r>
            <w:r>
              <w:rPr>
                <w:rFonts w:hint="eastAsia"/>
              </w:rPr>
              <w:t>扣1分，有20%的食品剩余有效期</w:t>
            </w:r>
            <w:r>
              <w:rPr>
                <w:rFonts w:hint="eastAsia"/>
                <w:lang w:val="en-US" w:eastAsia="zh-CN"/>
              </w:rPr>
              <w:t>＜</w:t>
            </w:r>
            <w:r>
              <w:rPr>
                <w:rFonts w:hint="eastAsia"/>
              </w:rPr>
              <w:t>1/4质保期，直接扣10分。</w:t>
            </w:r>
          </w:p>
        </w:tc>
        <w:tc>
          <w:tcPr>
            <w:tcW w:w="750" w:type="dxa"/>
            <w:tcBorders>
              <w:top w:val="nil"/>
              <w:left w:val="nil"/>
              <w:bottom w:val="single" w:color="000000" w:sz="4" w:space="0"/>
              <w:right w:val="single" w:color="000000" w:sz="4" w:space="0"/>
            </w:tcBorders>
            <w:tcMar>
              <w:top w:w="0" w:type="dxa"/>
              <w:left w:w="105" w:type="dxa"/>
              <w:bottom w:w="0" w:type="dxa"/>
              <w:right w:w="105" w:type="dxa"/>
            </w:tcMar>
          </w:tcPr>
          <w:p w14:paraId="46C30B7D">
            <w:pPr>
              <w:pStyle w:val="12"/>
              <w:ind w:firstLine="448"/>
              <w:jc w:val="center"/>
              <w:rPr>
                <w:rFonts w:hint="default"/>
              </w:rPr>
            </w:pPr>
          </w:p>
        </w:tc>
      </w:tr>
      <w:tr w14:paraId="6BF8AE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9471E27">
            <w:pPr>
              <w:widowControl/>
              <w:spacing w:line="280" w:lineRule="exact"/>
              <w:jc w:val="center"/>
              <w:textAlignment w:val="baseline"/>
            </w:pPr>
            <w:r>
              <w:rPr>
                <w:rFonts w:hint="eastAsia"/>
              </w:rPr>
              <w:t>环境卫生</w:t>
            </w:r>
          </w:p>
          <w:p w14:paraId="16D6012B">
            <w:pPr>
              <w:widowControl/>
              <w:spacing w:line="280" w:lineRule="exact"/>
              <w:jc w:val="center"/>
              <w:textAlignment w:val="baseline"/>
            </w:pPr>
            <w:r>
              <w:rPr>
                <w:rFonts w:hint="eastAsia"/>
              </w:rPr>
              <w:t>（6分）</w:t>
            </w:r>
          </w:p>
        </w:tc>
        <w:tc>
          <w:tcPr>
            <w:tcW w:w="48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B2A6DE3">
            <w:pPr>
              <w:widowControl/>
              <w:spacing w:line="280" w:lineRule="exact"/>
              <w:jc w:val="left"/>
              <w:textAlignment w:val="baseline"/>
            </w:pPr>
            <w:r>
              <w:rPr>
                <w:rFonts w:hint="eastAsia"/>
              </w:rPr>
              <w:t>厨房、库房、准备间、清洗池、售饭台等整洁，食堂地板、餐桌椅整洁无油污，墙壁、门窗、顶整洁无蛛网，餐具清洁每餐消毒，厕所及周围环境整洁无异味。</w:t>
            </w:r>
            <w:r>
              <w:rPr>
                <w:rFonts w:hint="eastAsia"/>
                <w:color w:val="000000" w:themeColor="text1"/>
                <w14:textFill>
                  <w14:solidFill>
                    <w14:schemeClr w14:val="tx1"/>
                  </w14:solidFill>
                </w14:textFill>
              </w:rPr>
              <w:t>下水道堵塞需当日疏通。</w:t>
            </w:r>
          </w:p>
        </w:tc>
        <w:tc>
          <w:tcPr>
            <w:tcW w:w="223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8D9F617">
            <w:pPr>
              <w:widowControl/>
              <w:spacing w:line="280" w:lineRule="exact"/>
              <w:jc w:val="left"/>
              <w:textAlignment w:val="baseline"/>
            </w:pPr>
            <w:r>
              <w:rPr>
                <w:rFonts w:hint="eastAsia"/>
              </w:rPr>
              <w:t>有一项</w:t>
            </w:r>
            <w:r>
              <w:rPr>
                <w:rFonts w:hint="eastAsia"/>
                <w:lang w:val="en-US" w:eastAsia="zh-CN"/>
              </w:rPr>
              <w:t>不符合</w:t>
            </w:r>
            <w:r>
              <w:rPr>
                <w:rFonts w:hint="eastAsia"/>
              </w:rPr>
              <w:t>扣1分。</w:t>
            </w:r>
          </w:p>
        </w:tc>
        <w:tc>
          <w:tcPr>
            <w:tcW w:w="750" w:type="dxa"/>
            <w:tcBorders>
              <w:top w:val="nil"/>
              <w:left w:val="nil"/>
              <w:bottom w:val="single" w:color="000000" w:sz="4" w:space="0"/>
              <w:right w:val="single" w:color="000000" w:sz="4" w:space="0"/>
            </w:tcBorders>
            <w:tcMar>
              <w:top w:w="0" w:type="dxa"/>
              <w:left w:w="105" w:type="dxa"/>
              <w:bottom w:w="0" w:type="dxa"/>
              <w:right w:w="105" w:type="dxa"/>
            </w:tcMar>
          </w:tcPr>
          <w:p w14:paraId="01433B45">
            <w:pPr>
              <w:pStyle w:val="12"/>
              <w:ind w:firstLine="448"/>
              <w:jc w:val="center"/>
              <w:rPr>
                <w:rFonts w:hint="default"/>
              </w:rPr>
            </w:pPr>
          </w:p>
        </w:tc>
      </w:tr>
      <w:tr w14:paraId="19D58A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840E25C">
            <w:pPr>
              <w:widowControl/>
              <w:spacing w:line="280" w:lineRule="exact"/>
              <w:jc w:val="center"/>
              <w:textAlignment w:val="baseline"/>
            </w:pPr>
            <w:r>
              <w:rPr>
                <w:rFonts w:hint="eastAsia"/>
              </w:rPr>
              <w:t>食堂安全</w:t>
            </w:r>
          </w:p>
          <w:p w14:paraId="1BBAEB8D">
            <w:pPr>
              <w:widowControl/>
              <w:spacing w:line="280" w:lineRule="exact"/>
              <w:jc w:val="center"/>
              <w:textAlignment w:val="baseline"/>
            </w:pPr>
            <w:r>
              <w:rPr>
                <w:rFonts w:hint="eastAsia"/>
              </w:rPr>
              <w:t xml:space="preserve"> （10分）</w:t>
            </w:r>
          </w:p>
        </w:tc>
        <w:tc>
          <w:tcPr>
            <w:tcW w:w="4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5968209">
            <w:pPr>
              <w:widowControl/>
              <w:spacing w:line="280" w:lineRule="exact"/>
              <w:jc w:val="left"/>
              <w:textAlignment w:val="baseline"/>
            </w:pPr>
            <w:r>
              <w:rPr>
                <w:rFonts w:hint="eastAsia"/>
              </w:rPr>
              <w:t>不出售过期、变质食品，按规范做好食品留样工作。食堂电器设备、燃气及灶具安全正常运行，每半月清洗油烟道，做好消防巡查及记录。</w:t>
            </w:r>
          </w:p>
        </w:tc>
        <w:tc>
          <w:tcPr>
            <w:tcW w:w="22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9950AEC">
            <w:pPr>
              <w:widowControl/>
              <w:spacing w:line="280" w:lineRule="exact"/>
              <w:jc w:val="left"/>
              <w:textAlignment w:val="baseline"/>
            </w:pPr>
            <w:r>
              <w:rPr>
                <w:rFonts w:hint="eastAsia"/>
              </w:rPr>
              <w:t>有一项</w:t>
            </w:r>
            <w:r>
              <w:rPr>
                <w:rFonts w:hint="eastAsia"/>
                <w:lang w:val="en-US" w:eastAsia="zh-CN"/>
              </w:rPr>
              <w:t>不符合</w:t>
            </w:r>
            <w:r>
              <w:rPr>
                <w:rFonts w:hint="eastAsia"/>
              </w:rPr>
              <w:t>扣2分；如出售过期、变质食品扣10分</w:t>
            </w:r>
          </w:p>
        </w:tc>
        <w:tc>
          <w:tcPr>
            <w:tcW w:w="7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511CB9C">
            <w:pPr>
              <w:pStyle w:val="12"/>
              <w:ind w:firstLine="448"/>
              <w:jc w:val="center"/>
              <w:rPr>
                <w:rFonts w:hint="default"/>
              </w:rPr>
            </w:pPr>
          </w:p>
        </w:tc>
      </w:tr>
      <w:tr w14:paraId="2EAB5B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AB9F86">
            <w:pPr>
              <w:widowControl/>
              <w:spacing w:line="280" w:lineRule="exact"/>
              <w:jc w:val="center"/>
              <w:textAlignment w:val="baseline"/>
            </w:pPr>
            <w:r>
              <w:rPr>
                <w:rFonts w:hint="eastAsia"/>
              </w:rPr>
              <w:t>服务质量</w:t>
            </w:r>
          </w:p>
          <w:p w14:paraId="2B3E1704">
            <w:pPr>
              <w:widowControl/>
              <w:spacing w:line="280" w:lineRule="exact"/>
              <w:jc w:val="center"/>
              <w:textAlignment w:val="baseline"/>
            </w:pPr>
            <w:r>
              <w:rPr>
                <w:rFonts w:hint="eastAsia"/>
              </w:rPr>
              <w:t> （6分）</w:t>
            </w:r>
          </w:p>
        </w:tc>
        <w:tc>
          <w:tcPr>
            <w:tcW w:w="48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E6569F7">
            <w:pPr>
              <w:widowControl/>
              <w:spacing w:line="280" w:lineRule="exact"/>
              <w:jc w:val="left"/>
              <w:textAlignment w:val="baseline"/>
            </w:pPr>
            <w:r>
              <w:rPr>
                <w:rFonts w:hint="eastAsia"/>
              </w:rPr>
              <w:t>配送餐时间满足需求，菜品种类满足投标文件，饭菜质量满足大众需求，按要求上报食谱。</w:t>
            </w:r>
          </w:p>
        </w:tc>
        <w:tc>
          <w:tcPr>
            <w:tcW w:w="223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0397848">
            <w:pPr>
              <w:widowControl/>
              <w:spacing w:line="280" w:lineRule="exact"/>
              <w:jc w:val="left"/>
              <w:textAlignment w:val="baseline"/>
            </w:pPr>
            <w:r>
              <w:rPr>
                <w:rFonts w:hint="eastAsia"/>
              </w:rPr>
              <w:t>有一项</w:t>
            </w:r>
            <w:r>
              <w:rPr>
                <w:rFonts w:hint="eastAsia"/>
                <w:lang w:val="en-US" w:eastAsia="zh-CN"/>
              </w:rPr>
              <w:t>不符合</w:t>
            </w:r>
            <w:r>
              <w:rPr>
                <w:rFonts w:hint="eastAsia"/>
              </w:rPr>
              <w:t>扣1分</w:t>
            </w:r>
          </w:p>
        </w:tc>
        <w:tc>
          <w:tcPr>
            <w:tcW w:w="750" w:type="dxa"/>
            <w:tcBorders>
              <w:top w:val="nil"/>
              <w:left w:val="nil"/>
              <w:bottom w:val="single" w:color="000000" w:sz="4" w:space="0"/>
              <w:right w:val="single" w:color="000000" w:sz="4" w:space="0"/>
            </w:tcBorders>
            <w:tcMar>
              <w:top w:w="0" w:type="dxa"/>
              <w:left w:w="105" w:type="dxa"/>
              <w:bottom w:w="0" w:type="dxa"/>
              <w:right w:w="105" w:type="dxa"/>
            </w:tcMar>
          </w:tcPr>
          <w:p w14:paraId="10A7890B">
            <w:pPr>
              <w:pStyle w:val="12"/>
              <w:ind w:firstLine="448"/>
              <w:jc w:val="center"/>
              <w:rPr>
                <w:rFonts w:hint="default"/>
              </w:rPr>
            </w:pPr>
          </w:p>
        </w:tc>
      </w:tr>
      <w:tr w14:paraId="251202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07535B4">
            <w:pPr>
              <w:widowControl/>
              <w:spacing w:line="280" w:lineRule="exact"/>
              <w:jc w:val="center"/>
              <w:textAlignment w:val="baseline"/>
            </w:pPr>
            <w:r>
              <w:rPr>
                <w:rFonts w:hint="eastAsia"/>
              </w:rPr>
              <w:t>服务态度</w:t>
            </w:r>
          </w:p>
          <w:p w14:paraId="5FAC6DB8">
            <w:pPr>
              <w:widowControl/>
              <w:spacing w:line="280" w:lineRule="exact"/>
              <w:jc w:val="center"/>
              <w:textAlignment w:val="baseline"/>
            </w:pPr>
            <w:r>
              <w:rPr>
                <w:rFonts w:hint="eastAsia"/>
              </w:rPr>
              <w:t>（6分）</w:t>
            </w:r>
          </w:p>
        </w:tc>
        <w:tc>
          <w:tcPr>
            <w:tcW w:w="4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DDB51F2">
            <w:pPr>
              <w:widowControl/>
              <w:spacing w:line="280" w:lineRule="exact"/>
              <w:jc w:val="left"/>
              <w:textAlignment w:val="baseline"/>
            </w:pPr>
            <w:r>
              <w:rPr>
                <w:rFonts w:hint="eastAsia"/>
              </w:rPr>
              <w:t>食堂工作人员服务热情，</w:t>
            </w:r>
            <w:r>
              <w:rPr>
                <w:rFonts w:hint="eastAsia"/>
                <w:lang w:val="en-US" w:eastAsia="zh-CN"/>
              </w:rPr>
              <w:t>无</w:t>
            </w:r>
            <w:r>
              <w:rPr>
                <w:rFonts w:hint="eastAsia"/>
              </w:rPr>
              <w:t>有效投诉。</w:t>
            </w:r>
          </w:p>
          <w:p w14:paraId="63C3227E">
            <w:pPr>
              <w:widowControl/>
              <w:spacing w:line="280" w:lineRule="exact"/>
              <w:jc w:val="left"/>
              <w:textAlignment w:val="baseline"/>
            </w:pPr>
          </w:p>
        </w:tc>
        <w:tc>
          <w:tcPr>
            <w:tcW w:w="22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206EFD6">
            <w:pPr>
              <w:widowControl/>
              <w:spacing w:line="280" w:lineRule="exact"/>
              <w:jc w:val="left"/>
              <w:textAlignment w:val="baseline"/>
            </w:pPr>
            <w:r>
              <w:rPr>
                <w:rFonts w:hint="eastAsia"/>
              </w:rPr>
              <w:t>一次有效投诉扣1分</w:t>
            </w:r>
          </w:p>
        </w:tc>
        <w:tc>
          <w:tcPr>
            <w:tcW w:w="7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035D6E56">
            <w:pPr>
              <w:pStyle w:val="12"/>
              <w:ind w:firstLine="448"/>
              <w:jc w:val="center"/>
              <w:rPr>
                <w:rFonts w:hint="default"/>
              </w:rPr>
            </w:pPr>
          </w:p>
        </w:tc>
      </w:tr>
      <w:tr w14:paraId="44F09C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267A11B">
            <w:pPr>
              <w:widowControl/>
              <w:spacing w:line="280" w:lineRule="exact"/>
              <w:jc w:val="center"/>
              <w:textAlignment w:val="baseline"/>
            </w:pPr>
            <w:r>
              <w:rPr>
                <w:rFonts w:hint="eastAsia"/>
              </w:rPr>
              <w:t>营养健康</w:t>
            </w:r>
          </w:p>
          <w:p w14:paraId="03153D46">
            <w:pPr>
              <w:widowControl/>
              <w:spacing w:line="280" w:lineRule="exact"/>
              <w:jc w:val="center"/>
              <w:textAlignment w:val="baseline"/>
            </w:pPr>
            <w:r>
              <w:rPr>
                <w:rFonts w:hint="eastAsia"/>
              </w:rPr>
              <w:t>食堂建设</w:t>
            </w:r>
          </w:p>
          <w:p w14:paraId="0FE01B47">
            <w:pPr>
              <w:widowControl/>
              <w:spacing w:line="280" w:lineRule="exact"/>
              <w:jc w:val="center"/>
              <w:textAlignment w:val="baseline"/>
            </w:pPr>
            <w:r>
              <w:rPr>
                <w:rFonts w:hint="eastAsia"/>
              </w:rPr>
              <w:t>（6分）</w:t>
            </w:r>
          </w:p>
        </w:tc>
        <w:tc>
          <w:tcPr>
            <w:tcW w:w="48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4377619">
            <w:pPr>
              <w:widowControl/>
              <w:spacing w:line="280" w:lineRule="exact"/>
              <w:jc w:val="left"/>
              <w:textAlignment w:val="baseline"/>
            </w:pPr>
            <w:r>
              <w:rPr>
                <w:rFonts w:hint="eastAsia"/>
              </w:rPr>
              <w:t>按要求配合医院营养健康食堂建设。</w:t>
            </w:r>
          </w:p>
        </w:tc>
        <w:tc>
          <w:tcPr>
            <w:tcW w:w="223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75EEAF2">
            <w:pPr>
              <w:widowControl/>
              <w:spacing w:line="280" w:lineRule="exact"/>
              <w:jc w:val="left"/>
              <w:textAlignment w:val="baseline"/>
            </w:pPr>
            <w:r>
              <w:rPr>
                <w:rFonts w:hint="eastAsia"/>
              </w:rPr>
              <w:t>不按要求配合创建一次扣</w:t>
            </w:r>
            <w:r>
              <w:rPr>
                <w:rFonts w:hint="eastAsia"/>
                <w:lang w:val="en-US" w:eastAsia="zh-CN"/>
              </w:rPr>
              <w:t>2</w:t>
            </w:r>
            <w:r>
              <w:rPr>
                <w:rFonts w:hint="eastAsia"/>
              </w:rPr>
              <w:t>分。</w:t>
            </w:r>
          </w:p>
        </w:tc>
        <w:tc>
          <w:tcPr>
            <w:tcW w:w="750" w:type="dxa"/>
            <w:tcBorders>
              <w:top w:val="nil"/>
              <w:left w:val="nil"/>
              <w:bottom w:val="single" w:color="000000" w:sz="4" w:space="0"/>
              <w:right w:val="single" w:color="000000" w:sz="4" w:space="0"/>
            </w:tcBorders>
            <w:tcMar>
              <w:top w:w="0" w:type="dxa"/>
              <w:left w:w="105" w:type="dxa"/>
              <w:bottom w:w="0" w:type="dxa"/>
              <w:right w:w="105" w:type="dxa"/>
            </w:tcMar>
          </w:tcPr>
          <w:p w14:paraId="1761CE82">
            <w:pPr>
              <w:pStyle w:val="12"/>
              <w:ind w:firstLine="448"/>
              <w:jc w:val="center"/>
              <w:rPr>
                <w:rFonts w:hint="default"/>
              </w:rPr>
            </w:pPr>
          </w:p>
        </w:tc>
      </w:tr>
      <w:tr w14:paraId="762133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AF766A0">
            <w:pPr>
              <w:widowControl/>
              <w:spacing w:line="280" w:lineRule="exact"/>
              <w:jc w:val="center"/>
              <w:textAlignment w:val="baseline"/>
            </w:pPr>
            <w:r>
              <w:rPr>
                <w:rFonts w:hint="eastAsia"/>
              </w:rPr>
              <w:t>满意度</w:t>
            </w:r>
          </w:p>
          <w:p w14:paraId="738AC289">
            <w:pPr>
              <w:widowControl/>
              <w:spacing w:line="280" w:lineRule="exact"/>
              <w:jc w:val="center"/>
              <w:textAlignment w:val="baseline"/>
            </w:pPr>
            <w:r>
              <w:rPr>
                <w:rFonts w:hint="eastAsia"/>
              </w:rPr>
              <w:t>（40分）</w:t>
            </w:r>
          </w:p>
        </w:tc>
        <w:tc>
          <w:tcPr>
            <w:tcW w:w="48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1429D2B">
            <w:pPr>
              <w:widowControl/>
              <w:spacing w:line="280" w:lineRule="exact"/>
              <w:jc w:val="left"/>
              <w:textAlignment w:val="baseline"/>
            </w:pPr>
            <w:r>
              <w:rPr>
                <w:rFonts w:hint="eastAsia"/>
              </w:rPr>
              <w:t>月末对职工、患者进行食堂满意度调查。</w:t>
            </w:r>
          </w:p>
        </w:tc>
        <w:tc>
          <w:tcPr>
            <w:tcW w:w="223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5976279">
            <w:pPr>
              <w:widowControl/>
              <w:spacing w:line="280" w:lineRule="exact"/>
              <w:jc w:val="center"/>
              <w:textAlignment w:val="baseline"/>
            </w:pPr>
            <w:r>
              <w:rPr>
                <w:rFonts w:hint="eastAsia"/>
              </w:rPr>
              <w:t>满意度*40为得分</w:t>
            </w:r>
          </w:p>
        </w:tc>
        <w:tc>
          <w:tcPr>
            <w:tcW w:w="750" w:type="dxa"/>
            <w:tcBorders>
              <w:top w:val="nil"/>
              <w:left w:val="nil"/>
              <w:bottom w:val="single" w:color="000000" w:sz="4" w:space="0"/>
              <w:right w:val="single" w:color="000000" w:sz="4" w:space="0"/>
            </w:tcBorders>
            <w:tcMar>
              <w:top w:w="0" w:type="dxa"/>
              <w:left w:w="105" w:type="dxa"/>
              <w:bottom w:w="0" w:type="dxa"/>
              <w:right w:w="105" w:type="dxa"/>
            </w:tcMar>
          </w:tcPr>
          <w:p w14:paraId="6FDFEBCC">
            <w:pPr>
              <w:widowControl/>
              <w:spacing w:line="280" w:lineRule="exact"/>
              <w:jc w:val="center"/>
              <w:textAlignment w:val="baseline"/>
            </w:pPr>
          </w:p>
        </w:tc>
      </w:tr>
      <w:tr w14:paraId="3AD7C1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98"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3C1CE9">
            <w:pPr>
              <w:pStyle w:val="12"/>
              <w:rPr>
                <w:rFonts w:hint="default"/>
                <w:kern w:val="2"/>
                <w:sz w:val="21"/>
                <w:szCs w:val="24"/>
                <w:lang w:eastAsia="zh-CN"/>
              </w:rPr>
            </w:pPr>
            <w:r>
              <w:rPr>
                <w:kern w:val="2"/>
                <w:sz w:val="21"/>
                <w:szCs w:val="24"/>
                <w:lang w:eastAsia="zh-CN"/>
              </w:rPr>
              <w:t>备注：</w:t>
            </w:r>
          </w:p>
          <w:p w14:paraId="40AFB634">
            <w:pPr>
              <w:pStyle w:val="12"/>
              <w:numPr>
                <w:ilvl w:val="0"/>
                <w:numId w:val="0"/>
              </w:numPr>
              <w:ind w:left="57" w:leftChars="27" w:right="60" w:rightChars="0" w:firstLine="161" w:firstLineChars="77"/>
              <w:rPr>
                <w:rFonts w:hint="default"/>
                <w:kern w:val="2"/>
                <w:sz w:val="21"/>
                <w:szCs w:val="24"/>
                <w:lang w:eastAsia="zh-CN"/>
              </w:rPr>
            </w:pPr>
            <w:r>
              <w:rPr>
                <w:rFonts w:hint="default" w:asciiTheme="minorHAnsi" w:hAnsiTheme="minorHAnsi" w:eastAsiaTheme="minorEastAsia" w:cstheme="minorBidi"/>
                <w:kern w:val="2"/>
                <w:sz w:val="21"/>
                <w:szCs w:val="24"/>
                <w:lang w:val="en-US" w:eastAsia="zh-CN" w:bidi="ar-SA"/>
              </w:rPr>
              <w:t>1.</w:t>
            </w:r>
            <w:r>
              <w:rPr>
                <w:kern w:val="2"/>
                <w:sz w:val="21"/>
                <w:szCs w:val="24"/>
                <w:lang w:eastAsia="zh-CN"/>
              </w:rPr>
              <w:t>考核周期为每月一次。</w:t>
            </w:r>
          </w:p>
          <w:p w14:paraId="5A4F36D0">
            <w:pPr>
              <w:pStyle w:val="12"/>
              <w:numPr>
                <w:ilvl w:val="0"/>
                <w:numId w:val="0"/>
              </w:numPr>
              <w:ind w:left="57" w:leftChars="27" w:right="60" w:rightChars="0" w:firstLine="161" w:firstLineChars="77"/>
              <w:rPr>
                <w:rFonts w:hint="default"/>
                <w:kern w:val="2"/>
                <w:sz w:val="21"/>
                <w:szCs w:val="24"/>
                <w:lang w:eastAsia="zh-CN"/>
              </w:rPr>
            </w:pPr>
            <w:r>
              <w:rPr>
                <w:rFonts w:hint="default" w:asciiTheme="minorHAnsi" w:hAnsiTheme="minorHAnsi" w:eastAsiaTheme="minorEastAsia" w:cstheme="minorBidi"/>
                <w:kern w:val="2"/>
                <w:sz w:val="21"/>
                <w:szCs w:val="24"/>
                <w:lang w:val="en-US" w:eastAsia="zh-CN" w:bidi="ar-SA"/>
              </w:rPr>
              <w:t>2.</w:t>
            </w:r>
            <w:r>
              <w:rPr>
                <w:kern w:val="2"/>
                <w:sz w:val="21"/>
                <w:szCs w:val="24"/>
                <w:lang w:eastAsia="zh-CN"/>
              </w:rPr>
              <w:t>每次考核</w:t>
            </w:r>
            <w:r>
              <w:rPr>
                <w:rFonts w:hint="eastAsia"/>
                <w:kern w:val="2"/>
                <w:sz w:val="21"/>
                <w:szCs w:val="24"/>
                <w:lang w:eastAsia="zh-CN"/>
              </w:rPr>
              <w:t>该</w:t>
            </w:r>
            <w:r>
              <w:rPr>
                <w:kern w:val="2"/>
                <w:sz w:val="21"/>
                <w:szCs w:val="24"/>
                <w:lang w:eastAsia="zh-CN"/>
              </w:rPr>
              <w:t>项目分扣完为止。</w:t>
            </w:r>
          </w:p>
          <w:p w14:paraId="27210760">
            <w:pPr>
              <w:pStyle w:val="12"/>
              <w:ind w:left="57" w:leftChars="27" w:firstLine="161" w:firstLineChars="77"/>
              <w:jc w:val="both"/>
              <w:rPr>
                <w:rFonts w:hint="default"/>
                <w:kern w:val="2"/>
                <w:sz w:val="21"/>
                <w:szCs w:val="24"/>
                <w:lang w:eastAsia="zh-CN"/>
              </w:rPr>
            </w:pPr>
            <w:r>
              <w:rPr>
                <w:kern w:val="2"/>
                <w:sz w:val="21"/>
                <w:szCs w:val="24"/>
                <w:lang w:eastAsia="zh-CN"/>
              </w:rPr>
              <w:t>3.采购人根据实际服务情况，可适当调整食堂考核细则，增减考核条款。</w:t>
            </w:r>
          </w:p>
        </w:tc>
      </w:tr>
    </w:tbl>
    <w:p w14:paraId="1C754AAC">
      <w:pPr>
        <w:jc w:val="center"/>
        <w:rPr>
          <w:b/>
          <w:bCs/>
        </w:rPr>
      </w:pPr>
    </w:p>
    <w:p w14:paraId="63A46434">
      <w:pPr>
        <w:jc w:val="center"/>
      </w:pPr>
      <w:r>
        <w:rPr>
          <w:rFonts w:hint="eastAsia"/>
          <w:b/>
          <w:bCs/>
        </w:rPr>
        <w:t>邻水县人民医院食堂外包服务考核结果运用</w:t>
      </w:r>
    </w:p>
    <w:tbl>
      <w:tblPr>
        <w:tblStyle w:val="9"/>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4375"/>
        <w:gridCol w:w="2580"/>
      </w:tblGrid>
      <w:tr w14:paraId="0C8C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Align w:val="center"/>
          </w:tcPr>
          <w:p w14:paraId="5C1BEC8D">
            <w:pPr>
              <w:spacing w:line="280" w:lineRule="exact"/>
              <w:ind w:firstLine="240" w:firstLineChars="100"/>
              <w:jc w:val="center"/>
              <w:rPr>
                <w:rFonts w:ascii="Times New Roman" w:hAnsi="Times New Roman" w:eastAsia="方正仿宋_GBK" w:cs="Times New Roman"/>
                <w:sz w:val="24"/>
              </w:rPr>
            </w:pPr>
            <w:r>
              <w:rPr>
                <w:rFonts w:hint="eastAsia" w:ascii="Times New Roman" w:hAnsi="Times New Roman" w:eastAsia="方正仿宋_GBK" w:cs="Times New Roman"/>
                <w:sz w:val="24"/>
              </w:rPr>
              <w:t>考核结果</w:t>
            </w:r>
          </w:p>
        </w:tc>
        <w:tc>
          <w:tcPr>
            <w:tcW w:w="4375" w:type="dxa"/>
            <w:vAlign w:val="center"/>
          </w:tcPr>
          <w:p w14:paraId="5692AFC3">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向医院上交违约金标准</w:t>
            </w:r>
          </w:p>
        </w:tc>
        <w:tc>
          <w:tcPr>
            <w:tcW w:w="2580" w:type="dxa"/>
            <w:vAlign w:val="center"/>
          </w:tcPr>
          <w:p w14:paraId="2D1072A8">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备  注</w:t>
            </w:r>
          </w:p>
        </w:tc>
      </w:tr>
      <w:tr w14:paraId="3851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Align w:val="center"/>
          </w:tcPr>
          <w:p w14:paraId="073084F7">
            <w:pPr>
              <w:spacing w:line="280" w:lineRule="exact"/>
              <w:jc w:val="left"/>
              <w:rPr>
                <w:rFonts w:ascii="Times New Roman" w:hAnsi="Times New Roman" w:eastAsia="方正仿宋_GBK" w:cs="Times New Roman"/>
                <w:sz w:val="24"/>
              </w:rPr>
            </w:pPr>
            <w:r>
              <w:rPr>
                <w:rFonts w:hint="eastAsia" w:ascii="Times New Roman" w:hAnsi="Times New Roman" w:eastAsia="方正仿宋_GBK" w:cs="Times New Roman"/>
                <w:sz w:val="24"/>
              </w:rPr>
              <w:t>8</w:t>
            </w:r>
            <w:r>
              <w:rPr>
                <w:rFonts w:ascii="Times New Roman" w:hAnsi="Times New Roman" w:eastAsia="方正仿宋_GBK" w:cs="Times New Roman"/>
                <w:sz w:val="24"/>
              </w:rPr>
              <w:t>0</w:t>
            </w:r>
            <w:r>
              <w:rPr>
                <w:rFonts w:hint="eastAsia" w:ascii="Times New Roman" w:hAnsi="Times New Roman" w:eastAsia="方正仿宋_GBK" w:cs="Times New Roman"/>
                <w:sz w:val="24"/>
              </w:rPr>
              <w:t>分至100分</w:t>
            </w:r>
          </w:p>
        </w:tc>
        <w:tc>
          <w:tcPr>
            <w:tcW w:w="4375" w:type="dxa"/>
            <w:vAlign w:val="center"/>
          </w:tcPr>
          <w:p w14:paraId="4176C453">
            <w:pPr>
              <w:spacing w:line="280" w:lineRule="exact"/>
              <w:rPr>
                <w:rFonts w:ascii="Times New Roman" w:hAnsi="Times New Roman" w:eastAsia="方正仿宋_GBK" w:cs="Times New Roman"/>
                <w:sz w:val="24"/>
              </w:rPr>
            </w:pPr>
            <w:r>
              <w:rPr>
                <w:rFonts w:hint="eastAsia" w:ascii="Times New Roman" w:hAnsi="Times New Roman" w:eastAsia="方正仿宋_GBK" w:cs="Times New Roman"/>
                <w:sz w:val="24"/>
              </w:rPr>
              <w:t>不上交</w:t>
            </w:r>
          </w:p>
        </w:tc>
        <w:tc>
          <w:tcPr>
            <w:tcW w:w="2580" w:type="dxa"/>
            <w:vAlign w:val="center"/>
          </w:tcPr>
          <w:p w14:paraId="5ECAD6C0">
            <w:pPr>
              <w:spacing w:line="280" w:lineRule="exact"/>
              <w:rPr>
                <w:rFonts w:ascii="Times New Roman" w:hAnsi="Times New Roman" w:eastAsia="方正仿宋_GBK" w:cs="Times New Roman"/>
                <w:sz w:val="24"/>
              </w:rPr>
            </w:pPr>
          </w:p>
        </w:tc>
      </w:tr>
      <w:tr w14:paraId="66E3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Align w:val="center"/>
          </w:tcPr>
          <w:p w14:paraId="6FB04632">
            <w:pPr>
              <w:spacing w:line="280" w:lineRule="exact"/>
              <w:jc w:val="left"/>
              <w:rPr>
                <w:rFonts w:ascii="Times New Roman" w:hAnsi="Times New Roman" w:eastAsia="方正仿宋_GBK" w:cs="Times New Roman"/>
                <w:sz w:val="24"/>
              </w:rPr>
            </w:pPr>
            <w:r>
              <w:rPr>
                <w:rFonts w:hint="eastAsia" w:ascii="Times New Roman" w:hAnsi="Times New Roman" w:eastAsia="方正仿宋_GBK" w:cs="Times New Roman"/>
                <w:sz w:val="24"/>
              </w:rPr>
              <w:t>70分至79分</w:t>
            </w:r>
          </w:p>
        </w:tc>
        <w:tc>
          <w:tcPr>
            <w:tcW w:w="4375" w:type="dxa"/>
            <w:vAlign w:val="center"/>
          </w:tcPr>
          <w:p w14:paraId="4F3255E5">
            <w:pPr>
              <w:spacing w:line="280" w:lineRule="exact"/>
              <w:rPr>
                <w:rFonts w:ascii="Times New Roman" w:hAnsi="Times New Roman" w:eastAsia="方正仿宋_GBK" w:cs="Times New Roman"/>
                <w:sz w:val="24"/>
              </w:rPr>
            </w:pPr>
            <w:r>
              <w:rPr>
                <w:rFonts w:hint="eastAsia" w:ascii="Times New Roman" w:hAnsi="Times New Roman" w:eastAsia="方正仿宋_GBK" w:cs="Times New Roman"/>
                <w:sz w:val="24"/>
              </w:rPr>
              <w:t>每分上交300元，即300元至</w:t>
            </w:r>
            <w:r>
              <w:rPr>
                <w:rFonts w:ascii="Times New Roman" w:hAnsi="Times New Roman" w:eastAsia="方正仿宋_GBK" w:cs="Times New Roman"/>
                <w:sz w:val="24"/>
              </w:rPr>
              <w:t>3</w:t>
            </w:r>
            <w:r>
              <w:rPr>
                <w:rFonts w:hint="eastAsia" w:ascii="Times New Roman" w:hAnsi="Times New Roman" w:eastAsia="方正仿宋_GBK" w:cs="Times New Roman"/>
                <w:sz w:val="24"/>
              </w:rPr>
              <w:t>000元</w:t>
            </w:r>
          </w:p>
        </w:tc>
        <w:tc>
          <w:tcPr>
            <w:tcW w:w="2580" w:type="dxa"/>
            <w:vAlign w:val="center"/>
          </w:tcPr>
          <w:p w14:paraId="3BC09720">
            <w:pPr>
              <w:spacing w:line="280" w:lineRule="exact"/>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lang w:val="en-US" w:eastAsia="zh-CN"/>
              </w:rPr>
              <w:t>提醒谈话</w:t>
            </w:r>
          </w:p>
        </w:tc>
      </w:tr>
      <w:tr w14:paraId="4CBB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Align w:val="center"/>
          </w:tcPr>
          <w:p w14:paraId="62A01B1B">
            <w:pPr>
              <w:spacing w:line="280" w:lineRule="exact"/>
              <w:jc w:val="left"/>
              <w:rPr>
                <w:rFonts w:ascii="Times New Roman" w:hAnsi="Times New Roman" w:eastAsia="方正仿宋_GBK" w:cs="Times New Roman"/>
                <w:sz w:val="24"/>
              </w:rPr>
            </w:pPr>
            <w:r>
              <w:rPr>
                <w:rFonts w:hint="eastAsia" w:ascii="Times New Roman" w:hAnsi="Times New Roman" w:eastAsia="方正仿宋_GBK" w:cs="Times New Roman"/>
                <w:sz w:val="24"/>
              </w:rPr>
              <w:t>60分至</w:t>
            </w:r>
            <w:r>
              <w:rPr>
                <w:rFonts w:hint="eastAsia" w:ascii="Times New Roman" w:hAnsi="Times New Roman" w:eastAsia="方正仿宋_GBK" w:cs="Times New Roman"/>
                <w:sz w:val="24"/>
                <w:lang w:val="en-US" w:eastAsia="zh-CN"/>
              </w:rPr>
              <w:t>69</w:t>
            </w:r>
            <w:r>
              <w:rPr>
                <w:rFonts w:hint="eastAsia" w:ascii="Times New Roman" w:hAnsi="Times New Roman" w:eastAsia="方正仿宋_GBK" w:cs="Times New Roman"/>
                <w:sz w:val="24"/>
              </w:rPr>
              <w:t>分</w:t>
            </w:r>
          </w:p>
        </w:tc>
        <w:tc>
          <w:tcPr>
            <w:tcW w:w="4375" w:type="dxa"/>
            <w:vAlign w:val="center"/>
          </w:tcPr>
          <w:p w14:paraId="39F24415">
            <w:pPr>
              <w:spacing w:line="280" w:lineRule="exact"/>
              <w:rPr>
                <w:rFonts w:ascii="Times New Roman" w:hAnsi="Times New Roman" w:eastAsia="方正仿宋_GBK" w:cs="Times New Roman"/>
                <w:sz w:val="24"/>
              </w:rPr>
            </w:pPr>
            <w:r>
              <w:rPr>
                <w:rFonts w:hint="eastAsia" w:ascii="Times New Roman" w:hAnsi="Times New Roman" w:eastAsia="方正仿宋_GBK" w:cs="Times New Roman"/>
                <w:sz w:val="24"/>
              </w:rPr>
              <w:t>每分上交400元，即</w:t>
            </w:r>
            <w:r>
              <w:rPr>
                <w:rFonts w:ascii="Times New Roman" w:hAnsi="Times New Roman" w:eastAsia="方正仿宋_GBK" w:cs="Times New Roman"/>
                <w:sz w:val="24"/>
              </w:rPr>
              <w:t>3</w:t>
            </w:r>
            <w:r>
              <w:rPr>
                <w:rFonts w:hint="eastAsia" w:ascii="Times New Roman" w:hAnsi="Times New Roman" w:eastAsia="方正仿宋_GBK" w:cs="Times New Roman"/>
                <w:sz w:val="24"/>
              </w:rPr>
              <w:t>400元至</w:t>
            </w:r>
            <w:r>
              <w:rPr>
                <w:rFonts w:ascii="Times New Roman" w:hAnsi="Times New Roman" w:eastAsia="方正仿宋_GBK" w:cs="Times New Roman"/>
                <w:sz w:val="24"/>
              </w:rPr>
              <w:t>7</w:t>
            </w:r>
            <w:r>
              <w:rPr>
                <w:rFonts w:hint="eastAsia" w:ascii="Times New Roman" w:hAnsi="Times New Roman" w:eastAsia="方正仿宋_GBK" w:cs="Times New Roman"/>
                <w:sz w:val="24"/>
              </w:rPr>
              <w:t>000元</w:t>
            </w:r>
          </w:p>
        </w:tc>
        <w:tc>
          <w:tcPr>
            <w:tcW w:w="2580" w:type="dxa"/>
            <w:vAlign w:val="center"/>
          </w:tcPr>
          <w:p w14:paraId="5B16E91D">
            <w:pPr>
              <w:spacing w:line="280" w:lineRule="exact"/>
              <w:rPr>
                <w:rFonts w:hint="default" w:ascii="Times New Roman" w:hAnsi="Times New Roman" w:eastAsia="方正仿宋_GBK" w:cs="Times New Roman"/>
                <w:sz w:val="24"/>
                <w:lang w:val="en-US" w:eastAsia="zh-CN"/>
              </w:rPr>
            </w:pPr>
            <w:r>
              <w:rPr>
                <w:rFonts w:hint="eastAsia" w:ascii="Times New Roman" w:hAnsi="Times New Roman" w:eastAsia="方正仿宋_GBK" w:cs="Times New Roman"/>
                <w:sz w:val="24"/>
              </w:rPr>
              <w:t>累加计算</w:t>
            </w:r>
            <w:r>
              <w:rPr>
                <w:rFonts w:hint="eastAsia" w:ascii="Times New Roman" w:hAnsi="Times New Roman" w:eastAsia="方正仿宋_GBK" w:cs="Times New Roman"/>
                <w:sz w:val="24"/>
                <w:lang w:eastAsia="zh-CN"/>
              </w:rPr>
              <w:t>，</w:t>
            </w:r>
            <w:r>
              <w:rPr>
                <w:rFonts w:hint="eastAsia" w:ascii="Times New Roman" w:hAnsi="Times New Roman" w:eastAsia="方正仿宋_GBK" w:cs="Times New Roman"/>
                <w:sz w:val="24"/>
                <w:lang w:val="en-US" w:eastAsia="zh-CN"/>
              </w:rPr>
              <w:t>限期整改</w:t>
            </w:r>
          </w:p>
        </w:tc>
      </w:tr>
      <w:tr w14:paraId="2613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Align w:val="center"/>
          </w:tcPr>
          <w:p w14:paraId="5E0D3F74">
            <w:pPr>
              <w:spacing w:line="280" w:lineRule="exact"/>
              <w:jc w:val="left"/>
              <w:rPr>
                <w:rFonts w:ascii="Times New Roman" w:hAnsi="Times New Roman" w:eastAsia="方正仿宋_GBK" w:cs="Times New Roman"/>
                <w:sz w:val="24"/>
              </w:rPr>
            </w:pPr>
            <w:r>
              <w:rPr>
                <w:rFonts w:hint="eastAsia" w:ascii="Times New Roman" w:hAnsi="Times New Roman" w:eastAsia="方正仿宋_GBK" w:cs="Times New Roman"/>
                <w:sz w:val="24"/>
              </w:rPr>
              <w:t>60分以下</w:t>
            </w:r>
          </w:p>
        </w:tc>
        <w:tc>
          <w:tcPr>
            <w:tcW w:w="4375" w:type="dxa"/>
            <w:vAlign w:val="center"/>
          </w:tcPr>
          <w:p w14:paraId="4ED71299">
            <w:pPr>
              <w:spacing w:line="280" w:lineRule="exact"/>
              <w:rPr>
                <w:rFonts w:ascii="Times New Roman" w:hAnsi="Times New Roman" w:eastAsia="方正仿宋_GBK" w:cs="Times New Roman"/>
                <w:sz w:val="24"/>
              </w:rPr>
            </w:pPr>
            <w:r>
              <w:rPr>
                <w:rFonts w:hint="eastAsia" w:ascii="Times New Roman" w:hAnsi="Times New Roman" w:eastAsia="方正仿宋_GBK" w:cs="Times New Roman"/>
                <w:sz w:val="24"/>
              </w:rPr>
              <w:t>上交违约金8000元</w:t>
            </w:r>
          </w:p>
        </w:tc>
        <w:tc>
          <w:tcPr>
            <w:tcW w:w="2580" w:type="dxa"/>
            <w:vAlign w:val="center"/>
          </w:tcPr>
          <w:p w14:paraId="174D846D">
            <w:pPr>
              <w:spacing w:line="280" w:lineRule="exact"/>
              <w:rPr>
                <w:rFonts w:ascii="Times New Roman" w:hAnsi="Times New Roman" w:eastAsia="方正仿宋_GBK" w:cs="Times New Roman"/>
                <w:sz w:val="24"/>
              </w:rPr>
            </w:pPr>
            <w:r>
              <w:rPr>
                <w:rFonts w:hint="eastAsia" w:ascii="Times New Roman" w:hAnsi="Times New Roman" w:eastAsia="方正仿宋_GBK" w:cs="Times New Roman"/>
                <w:sz w:val="24"/>
                <w:lang w:val="en-US" w:eastAsia="zh-CN"/>
              </w:rPr>
              <w:t>限期</w:t>
            </w:r>
            <w:r>
              <w:rPr>
                <w:rFonts w:hint="eastAsia" w:ascii="Times New Roman" w:hAnsi="Times New Roman" w:eastAsia="方正仿宋_GBK" w:cs="Times New Roman"/>
                <w:sz w:val="24"/>
              </w:rPr>
              <w:t>整改，</w:t>
            </w:r>
          </w:p>
          <w:p w14:paraId="06B70F8D">
            <w:pPr>
              <w:spacing w:line="280" w:lineRule="exact"/>
              <w:rPr>
                <w:rFonts w:ascii="Times New Roman" w:hAnsi="Times New Roman" w:eastAsia="方正仿宋_GBK" w:cs="Times New Roman"/>
                <w:sz w:val="24"/>
              </w:rPr>
            </w:pPr>
            <w:r>
              <w:rPr>
                <w:rFonts w:hint="eastAsia" w:ascii="Times New Roman" w:hAnsi="Times New Roman" w:eastAsia="方正仿宋_GBK" w:cs="Times New Roman"/>
                <w:color w:val="000000" w:themeColor="text1"/>
                <w:sz w:val="24"/>
                <w14:textFill>
                  <w14:solidFill>
                    <w14:schemeClr w14:val="tx1"/>
                  </w14:solidFill>
                </w14:textFill>
              </w:rPr>
              <w:t>年度内</w:t>
            </w:r>
            <w:r>
              <w:rPr>
                <w:rFonts w:hint="eastAsia" w:ascii="Times New Roman" w:hAnsi="Times New Roman" w:eastAsia="方正仿宋_GBK" w:cs="Times New Roman"/>
                <w:sz w:val="24"/>
              </w:rPr>
              <w:t>2次终止合同</w:t>
            </w:r>
          </w:p>
        </w:tc>
      </w:tr>
    </w:tbl>
    <w:p w14:paraId="4490B349">
      <w:pPr>
        <w:pStyle w:val="12"/>
        <w:outlineLvl w:val="2"/>
        <w:rPr>
          <w:rFonts w:hint="default"/>
        </w:rPr>
      </w:pPr>
    </w:p>
    <w:p w14:paraId="0B039757">
      <w:pPr>
        <w:pStyle w:val="12"/>
        <w:outlineLvl w:val="3"/>
        <w:rPr>
          <w:rFonts w:hint="default"/>
          <w:b/>
          <w:sz w:val="24"/>
        </w:rPr>
      </w:pPr>
      <w:r>
        <w:rPr>
          <w:b/>
          <w:sz w:val="28"/>
        </w:rPr>
        <w:t>3.3</w:t>
      </w:r>
      <w:r>
        <w:rPr>
          <w:b/>
          <w:sz w:val="28"/>
          <w:lang w:eastAsia="zh-CN"/>
        </w:rPr>
        <w:t xml:space="preserve"> </w:t>
      </w:r>
      <w:r>
        <w:rPr>
          <w:b/>
          <w:sz w:val="24"/>
        </w:rPr>
        <w:t>商务要求★</w:t>
      </w:r>
    </w:p>
    <w:p w14:paraId="7BC216CA">
      <w:pPr>
        <w:pStyle w:val="12"/>
        <w:outlineLvl w:val="3"/>
        <w:rPr>
          <w:rFonts w:hint="default"/>
          <w:lang w:val="en-US" w:eastAsia="zh-CN"/>
        </w:rPr>
      </w:pPr>
      <w:r>
        <w:rPr>
          <w:b/>
          <w:sz w:val="24"/>
          <w:lang w:eastAsia="zh-CN"/>
        </w:rPr>
        <w:t xml:space="preserve"> </w:t>
      </w:r>
      <w:r>
        <w:rPr>
          <w:lang w:eastAsia="zh-CN"/>
        </w:rPr>
        <w:t xml:space="preserve">   </w:t>
      </w:r>
      <w:r>
        <w:rPr>
          <w:rFonts w:hint="eastAsia"/>
          <w:lang w:eastAsia="zh-CN"/>
        </w:rPr>
        <w:t>一、</w:t>
      </w:r>
      <w:r>
        <w:t>服务期限</w:t>
      </w:r>
      <w:r>
        <w:rPr>
          <w:lang w:eastAsia="zh-CN"/>
        </w:rPr>
        <w:t>：</w:t>
      </w:r>
      <w:r>
        <w:rPr>
          <w:rFonts w:hint="eastAsia"/>
          <w:lang w:val="en-US" w:eastAsia="zh-CN"/>
        </w:rPr>
        <w:t>2年</w:t>
      </w:r>
    </w:p>
    <w:p w14:paraId="48D8206D">
      <w:pPr>
        <w:pStyle w:val="12"/>
        <w:outlineLvl w:val="3"/>
        <w:rPr>
          <w:rFonts w:hint="default"/>
        </w:rPr>
      </w:pPr>
      <w:r>
        <w:rPr>
          <w:lang w:eastAsia="zh-CN"/>
        </w:rPr>
        <w:t xml:space="preserve">   </w:t>
      </w:r>
      <w:r>
        <w:rPr>
          <w:rFonts w:hint="eastAsia"/>
          <w:lang w:val="en-US" w:eastAsia="zh-CN"/>
        </w:rPr>
        <w:t xml:space="preserve"> </w:t>
      </w:r>
      <w:r>
        <w:rPr>
          <w:rFonts w:hint="eastAsia"/>
          <w:lang w:eastAsia="zh-CN"/>
        </w:rPr>
        <w:t>二、</w:t>
      </w:r>
      <w:r>
        <w:t>服务地点</w:t>
      </w:r>
      <w:r>
        <w:rPr>
          <w:lang w:eastAsia="zh-CN"/>
        </w:rPr>
        <w:t>：</w:t>
      </w:r>
      <w:r>
        <w:t>采购人指定地点</w:t>
      </w:r>
    </w:p>
    <w:p w14:paraId="54271262">
      <w:pPr>
        <w:pStyle w:val="12"/>
        <w:ind w:firstLine="400" w:firstLineChars="200"/>
        <w:outlineLvl w:val="3"/>
        <w:rPr>
          <w:rFonts w:hint="default"/>
        </w:rPr>
      </w:pPr>
      <w:r>
        <w:rPr>
          <w:rFonts w:hint="eastAsia"/>
          <w:lang w:eastAsia="zh-CN"/>
        </w:rPr>
        <w:t>三、</w:t>
      </w:r>
      <w:r>
        <w:t>验收、交付标准和方法</w:t>
      </w:r>
      <w:r>
        <w:rPr>
          <w:lang w:eastAsia="zh-CN"/>
        </w:rPr>
        <w:t>：</w:t>
      </w:r>
      <w:r>
        <w:rPr>
          <w:rFonts w:hint="eastAsia"/>
          <w:lang w:val="en-US" w:eastAsia="zh-CN"/>
        </w:rPr>
        <w:t>(</w:t>
      </w:r>
      <w:r>
        <w:t>1</w:t>
      </w:r>
      <w:r>
        <w:rPr>
          <w:rFonts w:hint="eastAsia"/>
          <w:lang w:val="en-US" w:eastAsia="zh-CN"/>
        </w:rPr>
        <w:t>)</w:t>
      </w:r>
      <w:r>
        <w:t xml:space="preserve">严格按照本项目采购文件、供应商投标文件、《财政部关于进一步加强政府采购需求和履约验收管理的指导意见》（财库〔2016〕205号）等相关法律法规的要求进行验收。 </w:t>
      </w:r>
      <w:r>
        <w:rPr>
          <w:rFonts w:hint="eastAsia"/>
          <w:lang w:val="en-US" w:eastAsia="zh-CN"/>
        </w:rPr>
        <w:t>(</w:t>
      </w:r>
      <w:r>
        <w:t>2</w:t>
      </w:r>
      <w:r>
        <w:rPr>
          <w:rFonts w:hint="eastAsia"/>
          <w:lang w:val="en-US" w:eastAsia="zh-CN"/>
        </w:rPr>
        <w:t>)</w:t>
      </w:r>
      <w:r>
        <w:t xml:space="preserve">所有食品必须安全、卫生、无毒、无害，符合食品卫生质量要求。 </w:t>
      </w:r>
      <w:r>
        <w:rPr>
          <w:rFonts w:hint="eastAsia"/>
          <w:lang w:val="en-US" w:eastAsia="zh-CN"/>
        </w:rPr>
        <w:t>(3)</w:t>
      </w:r>
      <w:r>
        <w:t>所有食材必须符合卫生防疫、检疫部门，质量检验、监督等部门的相关质量要求。</w:t>
      </w:r>
      <w:r>
        <w:rPr>
          <w:rFonts w:hint="eastAsia"/>
          <w:lang w:val="en-US" w:eastAsia="zh-CN"/>
        </w:rPr>
        <w:t>(4)</w:t>
      </w:r>
      <w:r>
        <w:t xml:space="preserve">若供应商所提供食品的质量因不符合相关质量标准，导致采购人被卫生防疫、检疫部门处罚，所产生的罚款费用由供应商全额承担，将依据合同条款进行处罚，情节严重者终止合同，并按合同违约条款进行赔偿。 </w:t>
      </w:r>
      <w:r>
        <w:rPr>
          <w:rFonts w:hint="eastAsia"/>
          <w:lang w:val="en-US" w:eastAsia="zh-CN"/>
        </w:rPr>
        <w:t>(</w:t>
      </w:r>
      <w:r>
        <w:t>5</w:t>
      </w:r>
      <w:r>
        <w:rPr>
          <w:rFonts w:hint="eastAsia"/>
          <w:lang w:val="en-US" w:eastAsia="zh-CN"/>
        </w:rPr>
        <w:t>)</w:t>
      </w:r>
      <w:r>
        <w:t xml:space="preserve">质量要求：所有食品质量必须达到《中华人民共和国食品安全法》及相关法律法规的要求。 </w:t>
      </w:r>
      <w:r>
        <w:rPr>
          <w:rFonts w:hint="eastAsia"/>
          <w:lang w:val="en-US" w:eastAsia="zh-CN"/>
        </w:rPr>
        <w:t>(</w:t>
      </w:r>
      <w:r>
        <w:t>6</w:t>
      </w:r>
      <w:r>
        <w:rPr>
          <w:rFonts w:hint="eastAsia"/>
          <w:lang w:val="en-US" w:eastAsia="zh-CN"/>
        </w:rPr>
        <w:t>)</w:t>
      </w:r>
      <w:r>
        <w:t>采购人明确禁止使用含有兴奋剂的食品和添加剂，供应商应完全尊重采购人的要求，确保所供应食品中不出现含瘦肉精等类似违禁添加剂。</w:t>
      </w:r>
    </w:p>
    <w:p w14:paraId="19E9D98D">
      <w:pPr>
        <w:pStyle w:val="12"/>
        <w:ind w:firstLine="400" w:firstLineChars="200"/>
        <w:outlineLvl w:val="3"/>
        <w:rPr>
          <w:rFonts w:hint="default"/>
          <w:lang w:eastAsia="zh-CN"/>
        </w:rPr>
      </w:pPr>
      <w:r>
        <w:rPr>
          <w:rFonts w:hint="eastAsia"/>
          <w:lang w:eastAsia="zh-CN"/>
        </w:rPr>
        <w:t>四、</w:t>
      </w:r>
      <w:r>
        <w:t>违约责任与解决争议的方法</w:t>
      </w:r>
      <w:r>
        <w:rPr>
          <w:lang w:eastAsia="zh-CN"/>
        </w:rPr>
        <w:t>：</w:t>
      </w:r>
      <w:r>
        <w:rPr>
          <w:rFonts w:hint="eastAsia"/>
          <w:lang w:val="en-US" w:eastAsia="zh-CN"/>
        </w:rPr>
        <w:t>(1)</w:t>
      </w:r>
      <w:r>
        <w:t xml:space="preserve">双方必须遵守合同中的各项规定，保证合同的正常履行。 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 </w:t>
      </w:r>
      <w:r>
        <w:rPr>
          <w:rFonts w:hint="eastAsia"/>
          <w:lang w:val="en-US" w:eastAsia="zh-CN"/>
        </w:rPr>
        <w:t>(2)</w:t>
      </w:r>
      <w:r>
        <w:t>合同履行期间，若双方发生争议，可协商或由有关部门调解解决，协商或调解不成的，由当事人依法维护其合法权益，并在合同履行地提起诉讼</w:t>
      </w:r>
      <w:r>
        <w:rPr>
          <w:lang w:eastAsia="zh-CN"/>
        </w:rPr>
        <w:t>。</w:t>
      </w:r>
    </w:p>
    <w:p w14:paraId="0F497A02">
      <w:pPr>
        <w:pStyle w:val="12"/>
        <w:outlineLvl w:val="2"/>
        <w:rPr>
          <w:rFonts w:hint="default"/>
        </w:rPr>
      </w:pPr>
      <w:r>
        <w:rPr>
          <w:b/>
          <w:sz w:val="28"/>
        </w:rPr>
        <w:t>3.4.其他要求</w:t>
      </w:r>
      <w:r>
        <w:rPr>
          <w:b/>
          <w:sz w:val="24"/>
        </w:rPr>
        <w:t>★</w:t>
      </w:r>
    </w:p>
    <w:p w14:paraId="0508B9B5">
      <w:pPr>
        <w:pStyle w:val="12"/>
        <w:ind w:left="0" w:leftChars="0" w:firstLine="418" w:firstLineChars="209"/>
        <w:rPr>
          <w:rFonts w:hint="default"/>
        </w:rPr>
      </w:pPr>
      <w:r>
        <w:rPr>
          <w:lang w:eastAsia="zh-CN"/>
        </w:rPr>
        <w:t>一、支付方式：签订合同前交风险抵押金及第一年服务</w:t>
      </w:r>
      <w:r>
        <w:rPr>
          <w:rFonts w:hint="eastAsia"/>
          <w:lang w:eastAsia="zh-CN"/>
        </w:rPr>
        <w:t>管理</w:t>
      </w:r>
      <w:r>
        <w:rPr>
          <w:lang w:eastAsia="zh-CN"/>
        </w:rPr>
        <w:t>费，</w:t>
      </w:r>
      <w:r>
        <w:rPr>
          <w:rFonts w:hint="eastAsia"/>
          <w:lang w:val="en-US" w:eastAsia="zh-CN"/>
        </w:rPr>
        <w:t>外包服务期</w:t>
      </w:r>
      <w:r>
        <w:rPr>
          <w:lang w:eastAsia="zh-CN"/>
        </w:rPr>
        <w:t>满</w:t>
      </w:r>
      <w:r>
        <w:rPr>
          <w:rFonts w:hint="eastAsia"/>
          <w:lang w:val="en-US" w:eastAsia="zh-CN"/>
        </w:rPr>
        <w:t>11个月</w:t>
      </w:r>
      <w:r>
        <w:rPr>
          <w:lang w:eastAsia="zh-CN"/>
        </w:rPr>
        <w:t>交第二年</w:t>
      </w:r>
      <w:r>
        <w:rPr>
          <w:rFonts w:hint="eastAsia"/>
          <w:lang w:eastAsia="zh-CN"/>
        </w:rPr>
        <w:t>管理</w:t>
      </w:r>
      <w:r>
        <w:rPr>
          <w:lang w:eastAsia="zh-CN"/>
        </w:rPr>
        <w:t>费。</w:t>
      </w:r>
    </w:p>
    <w:p w14:paraId="65B9EDDB">
      <w:pPr>
        <w:pStyle w:val="12"/>
        <w:ind w:left="0" w:leftChars="0" w:firstLine="418" w:firstLineChars="209"/>
        <w:rPr>
          <w:rFonts w:hint="default"/>
          <w:lang w:eastAsia="zh-CN"/>
        </w:rPr>
      </w:pPr>
      <w:r>
        <w:rPr>
          <w:lang w:eastAsia="zh-CN"/>
        </w:rPr>
        <w:t>二、</w:t>
      </w:r>
      <w:r>
        <w:rPr>
          <w:rFonts w:hint="eastAsia"/>
          <w:lang w:val="en-US" w:eastAsia="zh-CN"/>
        </w:rPr>
        <w:t>职工</w:t>
      </w:r>
      <w:r>
        <w:t>用餐、</w:t>
      </w:r>
      <w:r>
        <w:rPr>
          <w:rFonts w:hint="eastAsia"/>
          <w:lang w:val="en-US" w:eastAsia="zh-CN"/>
        </w:rPr>
        <w:t>接待</w:t>
      </w:r>
      <w:r>
        <w:t>用餐：以实际就餐人数及餐标</w:t>
      </w:r>
      <w:r>
        <w:rPr>
          <w:lang w:eastAsia="zh-CN"/>
        </w:rPr>
        <w:t>由职工</w:t>
      </w:r>
      <w:r>
        <w:rPr>
          <w:color w:val="000000" w:themeColor="text1"/>
          <w:lang w:eastAsia="zh-CN"/>
          <w14:textFill>
            <w14:solidFill>
              <w14:schemeClr w14:val="tx1"/>
            </w14:solidFill>
          </w14:textFill>
        </w:rPr>
        <w:t>或</w:t>
      </w:r>
      <w:r>
        <w:rPr>
          <w:lang w:eastAsia="zh-CN"/>
        </w:rPr>
        <w:t>医院进行</w:t>
      </w:r>
      <w:r>
        <w:t>结算。中标后，投标人应提供适时的菜品及价目表，价格</w:t>
      </w:r>
      <w:r>
        <w:rPr>
          <w:rFonts w:hint="eastAsia"/>
          <w:lang w:val="en-US" w:eastAsia="zh-CN"/>
        </w:rPr>
        <w:t>低于</w:t>
      </w:r>
      <w:r>
        <w:t>市场价</w:t>
      </w:r>
      <w:r>
        <w:rPr>
          <w:color w:val="000000" w:themeColor="text1"/>
          <w:lang w:eastAsia="zh-CN"/>
          <w14:textFill>
            <w14:solidFill>
              <w14:schemeClr w14:val="tx1"/>
            </w14:solidFill>
          </w14:textFill>
        </w:rPr>
        <w:t>。（上墙公示）</w:t>
      </w:r>
    </w:p>
    <w:p w14:paraId="29640D88">
      <w:pPr>
        <w:pStyle w:val="12"/>
        <w:ind w:left="0" w:leftChars="0" w:firstLine="418" w:firstLineChars="209"/>
        <w:rPr>
          <w:rFonts w:hint="default"/>
        </w:rPr>
      </w:pPr>
      <w:r>
        <w:rPr>
          <w:lang w:eastAsia="zh-CN"/>
        </w:rPr>
        <w:t>三、</w:t>
      </w:r>
      <w:r>
        <w:t>为病人制作提供的营养餐、月子餐等：由病人自行支付。中标后，投标人应提供适时的菜品及价目表且经采购人确认，价格</w:t>
      </w:r>
      <w:r>
        <w:rPr>
          <w:rFonts w:hint="eastAsia"/>
          <w:lang w:val="en-US" w:eastAsia="zh-CN"/>
        </w:rPr>
        <w:t>低于</w:t>
      </w:r>
      <w:r>
        <w:t>市场价格。</w:t>
      </w:r>
      <w:r>
        <w:rPr>
          <w:color w:val="000000" w:themeColor="text1"/>
          <w:lang w:eastAsia="zh-CN"/>
          <w14:textFill>
            <w14:solidFill>
              <w14:schemeClr w14:val="tx1"/>
            </w14:solidFill>
          </w14:textFill>
        </w:rPr>
        <w:t>（上墙公示）</w:t>
      </w:r>
    </w:p>
    <w:p w14:paraId="443313BE">
      <w:pPr>
        <w:pStyle w:val="12"/>
        <w:ind w:left="0" w:leftChars="0" w:firstLine="418" w:firstLineChars="209"/>
        <w:rPr>
          <w:rFonts w:hint="default"/>
        </w:rPr>
      </w:pPr>
      <w:r>
        <w:rPr>
          <w:lang w:eastAsia="zh-CN"/>
        </w:rPr>
        <w:t>四</w:t>
      </w:r>
      <w:r>
        <w:t>、中标人应当与拟派的项目人员签订符合《中华人民共和国劳动法》规定的劳动合同，薪资不得低于合同履约期间</w:t>
      </w:r>
      <w:r>
        <w:rPr>
          <w:lang w:eastAsia="zh-CN"/>
        </w:rPr>
        <w:t>广安</w:t>
      </w:r>
      <w:r>
        <w:t>市现行最低薪酬标准，如相关规定有变化，按照最新政策执行，中标人必须为员工购买相关保险。（提供承诺函，格式自拟）</w:t>
      </w:r>
    </w:p>
    <w:p w14:paraId="73E01E4B">
      <w:pPr>
        <w:pStyle w:val="12"/>
        <w:ind w:left="0" w:leftChars="0" w:firstLine="418" w:firstLineChars="209"/>
        <w:rPr>
          <w:rFonts w:hint="default"/>
        </w:rPr>
      </w:pPr>
      <w:r>
        <w:rPr>
          <w:lang w:eastAsia="zh-CN"/>
        </w:rPr>
        <w:t>五</w:t>
      </w:r>
      <w:r>
        <w:t xml:space="preserve">、中标人在合同履行期间，发生任何卫生事故、各类安全责任事故（含食品安全、环保、人员意外伤害事故等）、劳务纠纷等，均由中标人承担全部责任。（提供承诺函格式自拟） </w:t>
      </w:r>
    </w:p>
    <w:p w14:paraId="719F80F0">
      <w:pPr>
        <w:pStyle w:val="12"/>
        <w:ind w:left="0" w:leftChars="0" w:firstLine="418" w:firstLineChars="209"/>
        <w:rPr>
          <w:rFonts w:hint="default"/>
        </w:rPr>
      </w:pPr>
      <w:r>
        <w:rPr>
          <w:lang w:eastAsia="zh-CN"/>
        </w:rPr>
        <w:t>六</w:t>
      </w:r>
      <w:r>
        <w:t>、投标人应针对在本项目履约过程中可能发生的应急事件，提供相应的应急预案（至少包括：停水、停电、停气、发生食物中毒、食物中发现不明异物、大型接待活动、临时加餐或延长供餐、火灾、自然灾害等情形），以保证采购人单位正常用餐、临时用餐、接待用餐等需求。</w:t>
      </w:r>
    </w:p>
    <w:p w14:paraId="5F04ED4C">
      <w:pPr>
        <w:pStyle w:val="12"/>
        <w:ind w:left="0" w:leftChars="0" w:firstLine="418" w:firstLineChars="209"/>
        <w:rPr>
          <w:rFonts w:hint="default"/>
        </w:rPr>
      </w:pPr>
      <w:r>
        <w:rPr>
          <w:lang w:eastAsia="zh-CN"/>
        </w:rPr>
        <w:t>七、</w:t>
      </w:r>
      <w:r>
        <w:rPr>
          <w:rFonts w:hint="eastAsia"/>
          <w:lang w:val="en-US" w:eastAsia="zh-CN"/>
        </w:rPr>
        <w:t>投标</w:t>
      </w:r>
      <w:r>
        <w:t>人需具有承担本项目的类似经验和能力。</w:t>
      </w:r>
    </w:p>
    <w:p w14:paraId="30124DA3">
      <w:pPr>
        <w:pStyle w:val="12"/>
        <w:ind w:left="0" w:leftChars="0" w:firstLine="418" w:firstLineChars="209"/>
        <w:rPr>
          <w:rFonts w:hint="default"/>
        </w:rPr>
      </w:pPr>
      <w:r>
        <w:rPr>
          <w:lang w:eastAsia="zh-CN"/>
        </w:rPr>
        <w:t>八</w:t>
      </w:r>
      <w:r>
        <w:t>、投标人应结合采购人行业特点及用餐主体，分析在项目实施过程中可能会出现的重点难点问题，并给出解决建议。</w:t>
      </w:r>
    </w:p>
    <w:p w14:paraId="1BA24255">
      <w:pPr>
        <w:pStyle w:val="12"/>
        <w:ind w:left="0" w:leftChars="0" w:firstLine="418" w:firstLineChars="209"/>
        <w:rPr>
          <w:rFonts w:hint="default"/>
        </w:rPr>
      </w:pPr>
      <w:r>
        <w:rPr>
          <w:lang w:eastAsia="zh-CN"/>
        </w:rPr>
        <w:t>九</w:t>
      </w:r>
      <w:r>
        <w:t>、投标人应建立完善的食品原材料溯源管理体系，保障食品原材料质量和正常供应。</w:t>
      </w:r>
      <w:r>
        <w:rPr>
          <w:color w:val="000000" w:themeColor="text1"/>
          <w:lang w:eastAsia="zh-CN"/>
          <w14:textFill>
            <w14:solidFill>
              <w14:schemeClr w14:val="tx1"/>
            </w14:solidFill>
          </w14:textFill>
        </w:rPr>
        <w:t>（供货资料备查）</w:t>
      </w:r>
    </w:p>
    <w:p w14:paraId="258B171E">
      <w:pPr>
        <w:pStyle w:val="12"/>
        <w:ind w:left="0" w:leftChars="0" w:firstLine="418" w:firstLineChars="209"/>
        <w:rPr>
          <w:rFonts w:hint="default"/>
        </w:rPr>
      </w:pPr>
      <w:r>
        <w:t>十、投标人应根据自身特点与服务主体特点设置服务管理理念，提出项目实施思路，保障项目高质量的实施。</w:t>
      </w:r>
    </w:p>
    <w:p w14:paraId="6F30C9DF">
      <w:pPr>
        <w:pStyle w:val="12"/>
        <w:ind w:left="0" w:leftChars="0" w:firstLine="418" w:firstLineChars="209"/>
        <w:rPr>
          <w:rFonts w:hint="default"/>
        </w:rPr>
      </w:pPr>
      <w:r>
        <w:t>十</w:t>
      </w:r>
      <w:r>
        <w:rPr>
          <w:lang w:eastAsia="zh-CN"/>
        </w:rPr>
        <w:t>一</w:t>
      </w:r>
      <w:r>
        <w:t>、</w:t>
      </w:r>
      <w:r>
        <w:rPr>
          <w:rFonts w:hint="eastAsia"/>
          <w:lang w:val="en-US" w:eastAsia="zh-CN"/>
        </w:rPr>
        <w:t>中</w:t>
      </w:r>
      <w:r>
        <w:t>标人</w:t>
      </w:r>
      <w:r>
        <w:rPr>
          <w:rFonts w:hint="eastAsia"/>
          <w:lang w:val="en-US" w:eastAsia="zh-CN"/>
        </w:rPr>
        <w:t>合同签订后10日内须</w:t>
      </w:r>
      <w:r>
        <w:t>为本项目投保食品安全责任险</w:t>
      </w:r>
      <w:r>
        <w:rPr>
          <w:rFonts w:hint="eastAsia"/>
          <w:lang w:val="en-US" w:eastAsia="zh-CN"/>
        </w:rPr>
        <w:t>并上交医院备案。</w:t>
      </w:r>
    </w:p>
    <w:p w14:paraId="17A6BDFD">
      <w:pPr>
        <w:pStyle w:val="12"/>
        <w:ind w:left="0" w:leftChars="0" w:firstLine="418" w:firstLineChars="209"/>
        <w:rPr>
          <w:rFonts w:hint="default"/>
        </w:rPr>
      </w:pPr>
      <w:r>
        <w:t>十</w:t>
      </w:r>
      <w:r>
        <w:rPr>
          <w:lang w:eastAsia="zh-CN"/>
        </w:rPr>
        <w:t>二</w:t>
      </w:r>
      <w:r>
        <w:t xml:space="preserve">、本招标文件中若有与相关法规有出入的，按照相关法规执行。 </w:t>
      </w:r>
    </w:p>
    <w:p w14:paraId="263287E6">
      <w:pPr>
        <w:pStyle w:val="12"/>
        <w:rPr>
          <w:rFonts w:hint="default"/>
        </w:rPr>
      </w:pPr>
      <w:r>
        <w:t xml:space="preserve"> </w:t>
      </w:r>
      <w:r>
        <w:br w:type="textWrapping"/>
      </w:r>
      <w:r>
        <w:br w:type="page"/>
      </w:r>
    </w:p>
    <w:p w14:paraId="7CB71672">
      <w:pPr>
        <w:pStyle w:val="12"/>
        <w:jc w:val="center"/>
        <w:outlineLvl w:val="1"/>
        <w:rPr>
          <w:rFonts w:hint="default"/>
        </w:rPr>
      </w:pPr>
      <w:r>
        <w:rPr>
          <w:b/>
          <w:sz w:val="36"/>
        </w:rPr>
        <w:t>第四章 资格审查</w:t>
      </w:r>
    </w:p>
    <w:p w14:paraId="0FCA843D">
      <w:pPr>
        <w:pStyle w:val="12"/>
        <w:ind w:firstLine="480"/>
        <w:rPr>
          <w:rFonts w:hint="default"/>
        </w:rPr>
      </w:pPr>
      <w:r>
        <w:t>开标完成后，由</w:t>
      </w:r>
      <w:r>
        <w:rPr>
          <w:lang w:eastAsia="zh-CN"/>
        </w:rPr>
        <w:t>采购人</w:t>
      </w:r>
      <w:r>
        <w:t>依据法律法规和招标文件的规定，对投标文件中投标人资格证明等进行审查并出具资格审查报告。资格审查标准及要求如下：</w:t>
      </w:r>
    </w:p>
    <w:p w14:paraId="66042329">
      <w:pPr>
        <w:pStyle w:val="12"/>
        <w:outlineLvl w:val="2"/>
        <w:rPr>
          <w:rFonts w:hint="default"/>
        </w:rPr>
      </w:pPr>
      <w:r>
        <w:rPr>
          <w:b/>
          <w:sz w:val="28"/>
        </w:rPr>
        <w:t>4.1.一般资格审查</w:t>
      </w:r>
    </w:p>
    <w:p w14:paraId="5B881FC8">
      <w:pPr>
        <w:pStyle w:val="12"/>
        <w:rPr>
          <w:rFonts w:hint="default"/>
          <w:lang w:eastAsia="zh-CN"/>
        </w:rPr>
      </w:pP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3203"/>
        <w:gridCol w:w="2611"/>
        <w:gridCol w:w="1910"/>
      </w:tblGrid>
      <w:tr w14:paraId="6A105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81" w:type="dxa"/>
          </w:tcPr>
          <w:p w14:paraId="0369D298">
            <w:pPr>
              <w:pStyle w:val="12"/>
              <w:jc w:val="center"/>
              <w:rPr>
                <w:rFonts w:hint="default"/>
              </w:rPr>
            </w:pPr>
            <w:r>
              <w:t xml:space="preserve"> 序号</w:t>
            </w:r>
          </w:p>
        </w:tc>
        <w:tc>
          <w:tcPr>
            <w:tcW w:w="3203" w:type="dxa"/>
          </w:tcPr>
          <w:p w14:paraId="64BA9069">
            <w:pPr>
              <w:pStyle w:val="12"/>
              <w:jc w:val="center"/>
              <w:rPr>
                <w:rFonts w:hint="default"/>
              </w:rPr>
            </w:pPr>
            <w:r>
              <w:t xml:space="preserve"> 一般资格审查内容</w:t>
            </w:r>
          </w:p>
        </w:tc>
        <w:tc>
          <w:tcPr>
            <w:tcW w:w="2611" w:type="dxa"/>
          </w:tcPr>
          <w:p w14:paraId="6FB5F125">
            <w:pPr>
              <w:pStyle w:val="12"/>
              <w:jc w:val="center"/>
              <w:rPr>
                <w:rFonts w:hint="default"/>
              </w:rPr>
            </w:pPr>
            <w:r>
              <w:t xml:space="preserve"> 具体标准和要求</w:t>
            </w:r>
          </w:p>
        </w:tc>
        <w:tc>
          <w:tcPr>
            <w:tcW w:w="1910" w:type="dxa"/>
          </w:tcPr>
          <w:p w14:paraId="332A113A">
            <w:pPr>
              <w:pStyle w:val="12"/>
              <w:jc w:val="center"/>
              <w:rPr>
                <w:rFonts w:hint="default"/>
              </w:rPr>
            </w:pPr>
            <w:r>
              <w:rPr>
                <w:b/>
              </w:rPr>
              <w:t xml:space="preserve"> 关联投标文件格式文本</w:t>
            </w:r>
          </w:p>
        </w:tc>
      </w:tr>
      <w:tr w14:paraId="13CDD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81" w:type="dxa"/>
          </w:tcPr>
          <w:p w14:paraId="3DAD11B3">
            <w:pPr>
              <w:pStyle w:val="12"/>
              <w:jc w:val="center"/>
              <w:rPr>
                <w:rFonts w:hint="default"/>
              </w:rPr>
            </w:pPr>
            <w:r>
              <w:t>1</w:t>
            </w:r>
          </w:p>
        </w:tc>
        <w:tc>
          <w:tcPr>
            <w:tcW w:w="3203" w:type="dxa"/>
          </w:tcPr>
          <w:p w14:paraId="42FFA4CB">
            <w:pPr>
              <w:pStyle w:val="12"/>
              <w:rPr>
                <w:rFonts w:hint="default"/>
              </w:rPr>
            </w:pPr>
            <w:r>
              <w:t>具有独立承担民事责任的能力。</w:t>
            </w:r>
          </w:p>
        </w:tc>
        <w:tc>
          <w:tcPr>
            <w:tcW w:w="2611" w:type="dxa"/>
          </w:tcPr>
          <w:p w14:paraId="4D8E827D">
            <w:pPr>
              <w:pStyle w:val="12"/>
              <w:rPr>
                <w:rFonts w:hint="default"/>
              </w:rPr>
            </w:pPr>
            <w:r>
              <w:t>投标人完成承诺。</w:t>
            </w:r>
          </w:p>
        </w:tc>
        <w:tc>
          <w:tcPr>
            <w:tcW w:w="1910" w:type="dxa"/>
          </w:tcPr>
          <w:p w14:paraId="67823C64">
            <w:pPr>
              <w:pStyle w:val="12"/>
              <w:rPr>
                <w:rFonts w:hint="default"/>
              </w:rPr>
            </w:pPr>
            <w:r>
              <w:t>投标（响应）函</w:t>
            </w:r>
          </w:p>
        </w:tc>
      </w:tr>
      <w:tr w14:paraId="3D2ED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81" w:type="dxa"/>
          </w:tcPr>
          <w:p w14:paraId="3DEDA5D7">
            <w:pPr>
              <w:pStyle w:val="12"/>
              <w:jc w:val="center"/>
              <w:rPr>
                <w:rFonts w:hint="default"/>
              </w:rPr>
            </w:pPr>
            <w:r>
              <w:t>2</w:t>
            </w:r>
          </w:p>
        </w:tc>
        <w:tc>
          <w:tcPr>
            <w:tcW w:w="3203" w:type="dxa"/>
          </w:tcPr>
          <w:p w14:paraId="2C79FA07">
            <w:pPr>
              <w:pStyle w:val="12"/>
              <w:rPr>
                <w:rFonts w:hint="default"/>
              </w:rPr>
            </w:pPr>
            <w:r>
              <w:t>具有良好的商业信誉</w:t>
            </w:r>
          </w:p>
        </w:tc>
        <w:tc>
          <w:tcPr>
            <w:tcW w:w="2611" w:type="dxa"/>
          </w:tcPr>
          <w:p w14:paraId="1A8EB2EA">
            <w:pPr>
              <w:jc w:val="left"/>
            </w:pPr>
            <w:r>
              <w:t>投标人完成承诺。</w:t>
            </w:r>
          </w:p>
        </w:tc>
        <w:tc>
          <w:tcPr>
            <w:tcW w:w="1910" w:type="dxa"/>
          </w:tcPr>
          <w:p w14:paraId="4A1959C9">
            <w:pPr>
              <w:pStyle w:val="12"/>
              <w:rPr>
                <w:rFonts w:hint="default"/>
              </w:rPr>
            </w:pPr>
            <w:r>
              <w:t>投标（响应）函</w:t>
            </w:r>
          </w:p>
        </w:tc>
      </w:tr>
      <w:tr w14:paraId="554F6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81" w:type="dxa"/>
          </w:tcPr>
          <w:p w14:paraId="117FAF1C">
            <w:pPr>
              <w:pStyle w:val="12"/>
              <w:jc w:val="center"/>
              <w:rPr>
                <w:rFonts w:hint="default"/>
              </w:rPr>
            </w:pPr>
            <w:r>
              <w:t>3</w:t>
            </w:r>
          </w:p>
        </w:tc>
        <w:tc>
          <w:tcPr>
            <w:tcW w:w="3203" w:type="dxa"/>
          </w:tcPr>
          <w:p w14:paraId="0864BFD0">
            <w:pPr>
              <w:pStyle w:val="12"/>
              <w:rPr>
                <w:rFonts w:hint="default"/>
              </w:rPr>
            </w:pPr>
            <w:r>
              <w:t>具有健全的财务会计制度。</w:t>
            </w:r>
          </w:p>
        </w:tc>
        <w:tc>
          <w:tcPr>
            <w:tcW w:w="2611" w:type="dxa"/>
          </w:tcPr>
          <w:p w14:paraId="293E0070">
            <w:pPr>
              <w:jc w:val="left"/>
            </w:pPr>
            <w:r>
              <w:t>投标人完成承诺。</w:t>
            </w:r>
          </w:p>
        </w:tc>
        <w:tc>
          <w:tcPr>
            <w:tcW w:w="1910" w:type="dxa"/>
          </w:tcPr>
          <w:p w14:paraId="7C70B012">
            <w:pPr>
              <w:pStyle w:val="12"/>
              <w:rPr>
                <w:rFonts w:hint="default"/>
              </w:rPr>
            </w:pPr>
            <w:r>
              <w:t>投标（响应）函</w:t>
            </w:r>
          </w:p>
        </w:tc>
      </w:tr>
      <w:tr w14:paraId="4581E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81" w:type="dxa"/>
          </w:tcPr>
          <w:p w14:paraId="45763EAF">
            <w:pPr>
              <w:pStyle w:val="12"/>
              <w:jc w:val="center"/>
              <w:rPr>
                <w:rFonts w:hint="default"/>
              </w:rPr>
            </w:pPr>
            <w:r>
              <w:t>4</w:t>
            </w:r>
          </w:p>
        </w:tc>
        <w:tc>
          <w:tcPr>
            <w:tcW w:w="3203" w:type="dxa"/>
          </w:tcPr>
          <w:p w14:paraId="6EB61D7A">
            <w:pPr>
              <w:pStyle w:val="12"/>
              <w:rPr>
                <w:rFonts w:hint="default"/>
              </w:rPr>
            </w:pPr>
            <w:r>
              <w:t>具有履行合同所必需的设备和专业技术能力。</w:t>
            </w:r>
          </w:p>
        </w:tc>
        <w:tc>
          <w:tcPr>
            <w:tcW w:w="2611" w:type="dxa"/>
          </w:tcPr>
          <w:p w14:paraId="3C899591">
            <w:pPr>
              <w:jc w:val="left"/>
            </w:pPr>
            <w:r>
              <w:t>投标人完成承诺。</w:t>
            </w:r>
          </w:p>
        </w:tc>
        <w:tc>
          <w:tcPr>
            <w:tcW w:w="1910" w:type="dxa"/>
          </w:tcPr>
          <w:p w14:paraId="0948BE86">
            <w:pPr>
              <w:pStyle w:val="12"/>
              <w:rPr>
                <w:rFonts w:hint="default"/>
              </w:rPr>
            </w:pPr>
            <w:r>
              <w:t>投标（响应）函</w:t>
            </w:r>
          </w:p>
        </w:tc>
      </w:tr>
      <w:tr w14:paraId="716EB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81" w:type="dxa"/>
          </w:tcPr>
          <w:p w14:paraId="759F9163">
            <w:pPr>
              <w:pStyle w:val="12"/>
              <w:jc w:val="center"/>
              <w:rPr>
                <w:rFonts w:hint="default"/>
              </w:rPr>
            </w:pPr>
            <w:r>
              <w:t>5</w:t>
            </w:r>
          </w:p>
        </w:tc>
        <w:tc>
          <w:tcPr>
            <w:tcW w:w="3203" w:type="dxa"/>
          </w:tcPr>
          <w:p w14:paraId="06510B57">
            <w:pPr>
              <w:pStyle w:val="12"/>
              <w:rPr>
                <w:rFonts w:hint="default"/>
              </w:rPr>
            </w:pPr>
            <w:r>
              <w:t>有依法缴纳税收和社会保障资金的良好记录。</w:t>
            </w:r>
          </w:p>
        </w:tc>
        <w:tc>
          <w:tcPr>
            <w:tcW w:w="2611" w:type="dxa"/>
          </w:tcPr>
          <w:p w14:paraId="57BDCF52">
            <w:pPr>
              <w:jc w:val="left"/>
            </w:pPr>
            <w:r>
              <w:t>投标人完成承诺。</w:t>
            </w:r>
          </w:p>
        </w:tc>
        <w:tc>
          <w:tcPr>
            <w:tcW w:w="1910" w:type="dxa"/>
          </w:tcPr>
          <w:p w14:paraId="29B23841">
            <w:pPr>
              <w:pStyle w:val="12"/>
              <w:rPr>
                <w:rFonts w:hint="default"/>
              </w:rPr>
            </w:pPr>
            <w:r>
              <w:t>投标（响应）函</w:t>
            </w:r>
          </w:p>
        </w:tc>
      </w:tr>
      <w:tr w14:paraId="630A0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81" w:type="dxa"/>
          </w:tcPr>
          <w:p w14:paraId="7EFFCA9A">
            <w:pPr>
              <w:pStyle w:val="12"/>
              <w:jc w:val="center"/>
              <w:rPr>
                <w:rFonts w:hint="default"/>
              </w:rPr>
            </w:pPr>
            <w:r>
              <w:t>6</w:t>
            </w:r>
          </w:p>
        </w:tc>
        <w:tc>
          <w:tcPr>
            <w:tcW w:w="3203" w:type="dxa"/>
          </w:tcPr>
          <w:p w14:paraId="2853129D">
            <w:pPr>
              <w:pStyle w:val="12"/>
              <w:rPr>
                <w:rFonts w:hint="default"/>
              </w:rPr>
            </w:pPr>
            <w:r>
              <w:t>参加政府采购活动前三年内，在经营活动中没有重大违法记录。</w:t>
            </w:r>
          </w:p>
        </w:tc>
        <w:tc>
          <w:tcPr>
            <w:tcW w:w="2611" w:type="dxa"/>
          </w:tcPr>
          <w:p w14:paraId="131517B1">
            <w:pPr>
              <w:jc w:val="left"/>
            </w:pPr>
            <w:r>
              <w:t>投标人完成承诺。</w:t>
            </w:r>
          </w:p>
        </w:tc>
        <w:tc>
          <w:tcPr>
            <w:tcW w:w="1910" w:type="dxa"/>
          </w:tcPr>
          <w:p w14:paraId="69B53F40">
            <w:pPr>
              <w:pStyle w:val="12"/>
              <w:rPr>
                <w:rFonts w:hint="default"/>
              </w:rPr>
            </w:pPr>
            <w:r>
              <w:t>投标（响应）函</w:t>
            </w:r>
          </w:p>
        </w:tc>
      </w:tr>
      <w:tr w14:paraId="35ED2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581" w:type="dxa"/>
          </w:tcPr>
          <w:p w14:paraId="1EEFAAA9">
            <w:pPr>
              <w:pStyle w:val="12"/>
              <w:jc w:val="center"/>
              <w:rPr>
                <w:rFonts w:hint="default"/>
              </w:rPr>
            </w:pPr>
            <w:r>
              <w:t>7</w:t>
            </w:r>
          </w:p>
        </w:tc>
        <w:tc>
          <w:tcPr>
            <w:tcW w:w="3203" w:type="dxa"/>
          </w:tcPr>
          <w:p w14:paraId="5D2B05BA">
            <w:pPr>
              <w:pStyle w:val="12"/>
              <w:rPr>
                <w:rFonts w:hint="default"/>
              </w:rPr>
            </w:pPr>
            <w:r>
              <w:t>不存在与单位负责人为同一人或者存在直接控股、管理关系的不同供应商不得参加同一合同项下的政府采购活动的行为。</w:t>
            </w:r>
          </w:p>
        </w:tc>
        <w:tc>
          <w:tcPr>
            <w:tcW w:w="2611" w:type="dxa"/>
          </w:tcPr>
          <w:p w14:paraId="3FE48F8C">
            <w:pPr>
              <w:jc w:val="left"/>
            </w:pPr>
            <w:r>
              <w:t>投标人完成承诺。</w:t>
            </w:r>
          </w:p>
        </w:tc>
        <w:tc>
          <w:tcPr>
            <w:tcW w:w="1910" w:type="dxa"/>
          </w:tcPr>
          <w:p w14:paraId="6A7C5F08">
            <w:pPr>
              <w:pStyle w:val="12"/>
              <w:rPr>
                <w:rFonts w:hint="default"/>
              </w:rPr>
            </w:pPr>
            <w:r>
              <w:t>投标（响应）函</w:t>
            </w:r>
          </w:p>
        </w:tc>
      </w:tr>
    </w:tbl>
    <w:p w14:paraId="2B0C20CA">
      <w:pPr>
        <w:pStyle w:val="12"/>
        <w:outlineLvl w:val="2"/>
        <w:rPr>
          <w:rFonts w:hint="default"/>
        </w:rPr>
      </w:pPr>
      <w:r>
        <w:rPr>
          <w:b/>
          <w:sz w:val="28"/>
        </w:rPr>
        <w:t>4.3.特定资格审查</w:t>
      </w:r>
    </w:p>
    <w:p w14:paraId="7940E0B3">
      <w:pPr>
        <w:pStyle w:val="12"/>
        <w:rPr>
          <w:rFonts w:hint="default"/>
          <w:lang w:eastAsia="zh-CN"/>
        </w:rPr>
      </w:pP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2953"/>
        <w:gridCol w:w="2617"/>
        <w:gridCol w:w="1910"/>
      </w:tblGrid>
      <w:tr w14:paraId="1F8B6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5" w:type="dxa"/>
          </w:tcPr>
          <w:p w14:paraId="19DC2901">
            <w:pPr>
              <w:pStyle w:val="12"/>
              <w:jc w:val="center"/>
              <w:rPr>
                <w:rFonts w:hint="default"/>
              </w:rPr>
            </w:pPr>
            <w:r>
              <w:t xml:space="preserve"> 序号</w:t>
            </w:r>
          </w:p>
        </w:tc>
        <w:tc>
          <w:tcPr>
            <w:tcW w:w="2953" w:type="dxa"/>
          </w:tcPr>
          <w:p w14:paraId="2BC431F1">
            <w:pPr>
              <w:pStyle w:val="12"/>
              <w:jc w:val="center"/>
              <w:rPr>
                <w:rFonts w:hint="default"/>
              </w:rPr>
            </w:pPr>
            <w:r>
              <w:t xml:space="preserve"> 特定资格审查内容</w:t>
            </w:r>
          </w:p>
        </w:tc>
        <w:tc>
          <w:tcPr>
            <w:tcW w:w="2617" w:type="dxa"/>
          </w:tcPr>
          <w:p w14:paraId="496B8A53">
            <w:pPr>
              <w:pStyle w:val="12"/>
              <w:jc w:val="center"/>
              <w:rPr>
                <w:rFonts w:hint="default"/>
              </w:rPr>
            </w:pPr>
            <w:r>
              <w:t xml:space="preserve"> 具体标准和要求</w:t>
            </w:r>
          </w:p>
        </w:tc>
        <w:tc>
          <w:tcPr>
            <w:tcW w:w="1910" w:type="dxa"/>
          </w:tcPr>
          <w:p w14:paraId="43CAEE26">
            <w:pPr>
              <w:pStyle w:val="12"/>
              <w:jc w:val="center"/>
              <w:rPr>
                <w:rFonts w:hint="default"/>
              </w:rPr>
            </w:pPr>
            <w:r>
              <w:rPr>
                <w:b/>
              </w:rPr>
              <w:t xml:space="preserve"> 关联投标文件格式文本</w:t>
            </w:r>
          </w:p>
        </w:tc>
      </w:tr>
      <w:tr w14:paraId="6C314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5" w:type="dxa"/>
          </w:tcPr>
          <w:p w14:paraId="6B2A7192">
            <w:pPr>
              <w:pStyle w:val="12"/>
              <w:jc w:val="center"/>
              <w:rPr>
                <w:rFonts w:hint="eastAsia" w:eastAsiaTheme="minorEastAsia"/>
                <w:lang w:val="en-US" w:eastAsia="zh-CN"/>
              </w:rPr>
            </w:pPr>
            <w:r>
              <w:rPr>
                <w:rFonts w:hint="eastAsia"/>
                <w:lang w:val="en-US" w:eastAsia="zh-CN"/>
              </w:rPr>
              <w:t>1</w:t>
            </w:r>
          </w:p>
        </w:tc>
        <w:tc>
          <w:tcPr>
            <w:tcW w:w="2953" w:type="dxa"/>
          </w:tcPr>
          <w:p w14:paraId="285CB178">
            <w:pPr>
              <w:pStyle w:val="12"/>
              <w:jc w:val="center"/>
            </w:pPr>
            <w:r>
              <w:t>供应商须具备有效期内《食品经营许可证》或《食品经营许可备案电子证书》</w:t>
            </w:r>
          </w:p>
        </w:tc>
        <w:tc>
          <w:tcPr>
            <w:tcW w:w="2617" w:type="dxa"/>
          </w:tcPr>
          <w:p w14:paraId="60D3B2FA">
            <w:pPr>
              <w:pStyle w:val="12"/>
              <w:jc w:val="center"/>
              <w:rPr>
                <w:rFonts w:hint="default" w:eastAsiaTheme="minorEastAsia"/>
                <w:lang w:val="en-US" w:eastAsia="zh-CN"/>
              </w:rPr>
            </w:pPr>
            <w:r>
              <w:rPr>
                <w:rFonts w:hint="eastAsia"/>
                <w:lang w:val="en-US" w:eastAsia="zh-CN"/>
              </w:rPr>
              <w:t>提供复印件。原件备查</w:t>
            </w:r>
          </w:p>
        </w:tc>
        <w:tc>
          <w:tcPr>
            <w:tcW w:w="1910" w:type="dxa"/>
          </w:tcPr>
          <w:p w14:paraId="30700AB2">
            <w:pPr>
              <w:pStyle w:val="12"/>
              <w:jc w:val="center"/>
              <w:rPr>
                <w:b/>
              </w:rPr>
            </w:pPr>
          </w:p>
        </w:tc>
      </w:tr>
    </w:tbl>
    <w:p w14:paraId="2FFD3C9A">
      <w:pPr>
        <w:pStyle w:val="12"/>
        <w:rPr>
          <w:rFonts w:hint="default"/>
        </w:rPr>
      </w:pPr>
      <w:r>
        <w:t xml:space="preserve"> </w:t>
      </w:r>
      <w:r>
        <w:br w:type="textWrapping"/>
      </w:r>
      <w:r>
        <w:br w:type="page"/>
      </w:r>
    </w:p>
    <w:p w14:paraId="45014F41">
      <w:pPr>
        <w:pStyle w:val="12"/>
        <w:jc w:val="center"/>
        <w:outlineLvl w:val="1"/>
        <w:rPr>
          <w:rFonts w:hint="default"/>
        </w:rPr>
      </w:pPr>
      <w:r>
        <w:rPr>
          <w:b/>
          <w:sz w:val="36"/>
        </w:rPr>
        <w:t>第五章 评标办法</w:t>
      </w:r>
    </w:p>
    <w:p w14:paraId="3C126B2D">
      <w:pPr>
        <w:pStyle w:val="12"/>
        <w:outlineLvl w:val="2"/>
        <w:rPr>
          <w:rFonts w:hint="default"/>
        </w:rPr>
      </w:pPr>
      <w:r>
        <w:rPr>
          <w:b/>
          <w:sz w:val="28"/>
        </w:rPr>
        <w:t>5.1.总则</w:t>
      </w:r>
    </w:p>
    <w:p w14:paraId="61AB2532">
      <w:pPr>
        <w:pStyle w:val="12"/>
        <w:ind w:firstLine="480"/>
        <w:rPr>
          <w:rFonts w:hint="default"/>
        </w:rPr>
      </w:pPr>
      <w:r>
        <w:t>一、根据《中华人民共和国政府采购法》《中华人民共和国政府采购法实施条例》《政府采购货物和服务招标投标管理办法》《四川省政府采购评审工作规程（修订）》等法律制度规定，结合采购项目特点制定本评标办法。</w:t>
      </w:r>
    </w:p>
    <w:p w14:paraId="1069FD68">
      <w:pPr>
        <w:pStyle w:val="12"/>
        <w:ind w:firstLine="480"/>
        <w:rPr>
          <w:rFonts w:hint="default"/>
        </w:rPr>
      </w:pPr>
      <w:r>
        <w:t>二、评标工作由</w:t>
      </w:r>
      <w:r>
        <w:rPr>
          <w:lang w:eastAsia="zh-CN"/>
        </w:rPr>
        <w:t>采购人</w:t>
      </w:r>
      <w:r>
        <w:t>负责组织，具体评标事务由依法组建的评标委员会负责。评标委员会由采购人代表和</w:t>
      </w:r>
      <w:r>
        <w:rPr>
          <w:lang w:eastAsia="zh-CN"/>
        </w:rPr>
        <w:t>院内</w:t>
      </w:r>
      <w:r>
        <w:t>评审</w:t>
      </w:r>
      <w:r>
        <w:rPr>
          <w:lang w:eastAsia="zh-CN"/>
        </w:rPr>
        <w:t>人员</w:t>
      </w:r>
      <w:r>
        <w:t>组成。</w:t>
      </w:r>
    </w:p>
    <w:p w14:paraId="317E204B">
      <w:pPr>
        <w:pStyle w:val="12"/>
        <w:ind w:firstLine="480"/>
        <w:rPr>
          <w:rFonts w:hint="default"/>
        </w:rPr>
      </w:pPr>
      <w:r>
        <w:t>三、评标工作应遵循客观、公正、审慎的原则，根据招标文件规定的评标程序、评标方法和评标标准进行独立评标。</w:t>
      </w:r>
    </w:p>
    <w:p w14:paraId="06F17DE4">
      <w:pPr>
        <w:pStyle w:val="12"/>
        <w:ind w:firstLine="480"/>
        <w:rPr>
          <w:rFonts w:hint="default"/>
        </w:rPr>
      </w:pPr>
      <w:r>
        <w:t>四、评标委员会成员、</w:t>
      </w:r>
      <w:r>
        <w:rPr>
          <w:lang w:eastAsia="zh-CN"/>
        </w:rPr>
        <w:t>采购人</w:t>
      </w:r>
      <w:r>
        <w:t>和投标人应当按照本招标文件规定开展或者参加评标活动。</w:t>
      </w:r>
    </w:p>
    <w:p w14:paraId="6F12F338">
      <w:pPr>
        <w:pStyle w:val="12"/>
        <w:ind w:firstLine="480"/>
        <w:rPr>
          <w:rFonts w:hint="default"/>
        </w:rPr>
      </w:pPr>
      <w:r>
        <w:t>五、评标过程中的书面材料往来均通过</w:t>
      </w:r>
      <w:r>
        <w:rPr>
          <w:lang w:eastAsia="zh-CN"/>
        </w:rPr>
        <w:t>现场或指定方式</w:t>
      </w:r>
      <w:r>
        <w:t>传递，需要投标人签章的，投标人应按规定加盖印章。</w:t>
      </w:r>
    </w:p>
    <w:p w14:paraId="0938DD13">
      <w:pPr>
        <w:pStyle w:val="12"/>
        <w:ind w:firstLine="480"/>
        <w:rPr>
          <w:rFonts w:hint="default"/>
        </w:rPr>
      </w:pPr>
      <w:r>
        <w:t>六、评标过程应当独立、保密，任何单位和个人不得非法干预评标活动。采购人及其工作人员、采购人监督人员违法干预评标活动的，将依法追究其责任。</w:t>
      </w:r>
    </w:p>
    <w:p w14:paraId="7B766181">
      <w:pPr>
        <w:pStyle w:val="12"/>
        <w:outlineLvl w:val="2"/>
        <w:rPr>
          <w:rFonts w:hint="default"/>
        </w:rPr>
      </w:pPr>
      <w:r>
        <w:rPr>
          <w:b/>
          <w:sz w:val="28"/>
        </w:rPr>
        <w:t>5.2.评标委员会</w:t>
      </w:r>
    </w:p>
    <w:p w14:paraId="7BAC787A">
      <w:pPr>
        <w:pStyle w:val="12"/>
        <w:ind w:firstLine="480"/>
        <w:rPr>
          <w:rFonts w:hint="default"/>
        </w:rPr>
      </w:pPr>
      <w:r>
        <w:t>一、本项目评标委员会成员人数应当为5人以上单数，其中评审</w:t>
      </w:r>
      <w:r>
        <w:rPr>
          <w:lang w:eastAsia="zh-CN"/>
        </w:rPr>
        <w:t>人员</w:t>
      </w:r>
      <w:r>
        <w:t>不得少于成员总数的三分之二。财政部有特殊规定的，按照财政部有关规定执行。评审</w:t>
      </w:r>
      <w:r>
        <w:rPr>
          <w:lang w:eastAsia="zh-CN"/>
        </w:rPr>
        <w:t>人员</w:t>
      </w:r>
      <w:r>
        <w:t>由</w:t>
      </w:r>
      <w:r>
        <w:rPr>
          <w:lang w:eastAsia="zh-CN"/>
        </w:rPr>
        <w:t>采购人</w:t>
      </w:r>
      <w:r>
        <w:t>采取随机方式在采</w:t>
      </w:r>
      <w:r>
        <w:rPr>
          <w:lang w:eastAsia="zh-CN"/>
        </w:rPr>
        <w:t>院内</w:t>
      </w:r>
      <w:r>
        <w:t>评审</w:t>
      </w:r>
      <w:r>
        <w:rPr>
          <w:lang w:eastAsia="zh-CN"/>
        </w:rPr>
        <w:t>人员</w:t>
      </w:r>
      <w:r>
        <w:t>库抽取。</w:t>
      </w:r>
    </w:p>
    <w:p w14:paraId="334E8787">
      <w:pPr>
        <w:pStyle w:val="12"/>
        <w:ind w:firstLine="480"/>
        <w:rPr>
          <w:rFonts w:hint="default"/>
        </w:rPr>
      </w:pPr>
      <w:r>
        <w:t>二、评标委员会成员应当签到、推荐评标委员会组长。</w:t>
      </w:r>
    </w:p>
    <w:p w14:paraId="4015CAD8">
      <w:pPr>
        <w:pStyle w:val="12"/>
        <w:ind w:firstLine="480"/>
        <w:rPr>
          <w:rFonts w:hint="default"/>
        </w:rPr>
      </w:pPr>
      <w:r>
        <w:t>三、评标委员会成员</w:t>
      </w:r>
      <w:r>
        <w:rPr>
          <w:lang w:eastAsia="zh-CN"/>
        </w:rPr>
        <w:t>对</w:t>
      </w:r>
      <w:r>
        <w:t>投标文件开展评标活动。出现</w:t>
      </w:r>
      <w:r>
        <w:rPr>
          <w:lang w:eastAsia="zh-CN"/>
        </w:rPr>
        <w:t>评审人员</w:t>
      </w:r>
      <w:r>
        <w:t>请假、回避等情况时，</w:t>
      </w:r>
      <w:r>
        <w:rPr>
          <w:lang w:eastAsia="zh-CN"/>
        </w:rPr>
        <w:t>采购人</w:t>
      </w:r>
      <w:r>
        <w:t>按规定申请补充抽取</w:t>
      </w:r>
      <w:r>
        <w:rPr>
          <w:lang w:eastAsia="zh-CN"/>
        </w:rPr>
        <w:t>评审人员</w:t>
      </w:r>
      <w:r>
        <w:t>。无法及时补充抽取的，</w:t>
      </w:r>
      <w:r>
        <w:rPr>
          <w:lang w:eastAsia="zh-CN"/>
        </w:rPr>
        <w:t>采购人</w:t>
      </w:r>
      <w:r>
        <w:t>应当封存投标人投标文件，按规定重新组建评标委员会，解封投标文件后，开展评标活动。</w:t>
      </w:r>
    </w:p>
    <w:p w14:paraId="5B1EB186">
      <w:pPr>
        <w:pStyle w:val="12"/>
        <w:ind w:firstLine="480"/>
        <w:rPr>
          <w:rFonts w:hint="default"/>
        </w:rPr>
      </w:pPr>
      <w:r>
        <w:t>四、评标委员会应当履行下列职责：</w:t>
      </w:r>
    </w:p>
    <w:p w14:paraId="5AC1A988">
      <w:pPr>
        <w:pStyle w:val="12"/>
        <w:ind w:firstLine="480"/>
        <w:rPr>
          <w:rFonts w:hint="default"/>
        </w:rPr>
      </w:pPr>
      <w:r>
        <w:t>（一）熟悉和理解招标文件；</w:t>
      </w:r>
    </w:p>
    <w:p w14:paraId="788ADD1C">
      <w:pPr>
        <w:pStyle w:val="12"/>
        <w:ind w:firstLine="480"/>
        <w:rPr>
          <w:rFonts w:hint="default"/>
        </w:rPr>
      </w:pPr>
      <w:r>
        <w:t>（二）审查、评价投标文件是否符合招标文件的商务、技术等实质性要求；</w:t>
      </w:r>
    </w:p>
    <w:p w14:paraId="51A98913">
      <w:pPr>
        <w:pStyle w:val="12"/>
        <w:ind w:firstLine="480"/>
        <w:rPr>
          <w:rFonts w:hint="default"/>
        </w:rPr>
      </w:pPr>
      <w:r>
        <w:t>（三）对投标文件进行比较和评价；</w:t>
      </w:r>
    </w:p>
    <w:p w14:paraId="296B232B">
      <w:pPr>
        <w:pStyle w:val="12"/>
        <w:ind w:firstLine="480"/>
        <w:rPr>
          <w:rFonts w:hint="default"/>
        </w:rPr>
      </w:pPr>
      <w:r>
        <w:t>（四）根据需要要求</w:t>
      </w:r>
      <w:r>
        <w:rPr>
          <w:lang w:eastAsia="zh-CN"/>
        </w:rPr>
        <w:t>采购人</w:t>
      </w:r>
      <w:r>
        <w:t>对招标文件作出解释；根据需要要求投标人对投标文件有关事项作出澄清、说明或者补正；</w:t>
      </w:r>
    </w:p>
    <w:p w14:paraId="1815BA9D">
      <w:pPr>
        <w:pStyle w:val="12"/>
        <w:ind w:firstLine="480"/>
        <w:rPr>
          <w:rFonts w:hint="default"/>
        </w:rPr>
      </w:pPr>
      <w:r>
        <w:t>（五）确定中标候选人名单，以及根据采购人委托直接确定中标人；</w:t>
      </w:r>
    </w:p>
    <w:p w14:paraId="1FE4139D">
      <w:pPr>
        <w:pStyle w:val="12"/>
        <w:ind w:firstLine="480"/>
        <w:rPr>
          <w:rFonts w:hint="default"/>
        </w:rPr>
      </w:pPr>
      <w:r>
        <w:t>（六）起草评标报告并进行签署；</w:t>
      </w:r>
    </w:p>
    <w:p w14:paraId="120605B8">
      <w:pPr>
        <w:pStyle w:val="12"/>
        <w:ind w:firstLine="480"/>
        <w:rPr>
          <w:rFonts w:hint="default"/>
        </w:rPr>
      </w:pPr>
      <w:r>
        <w:t>（七）向</w:t>
      </w:r>
      <w:r>
        <w:rPr>
          <w:lang w:eastAsia="zh-CN"/>
        </w:rPr>
        <w:t>采购人</w:t>
      </w:r>
      <w:r>
        <w:t>或者有关部门报告评标中发现的违法行为；</w:t>
      </w:r>
    </w:p>
    <w:p w14:paraId="002B4074">
      <w:pPr>
        <w:pStyle w:val="12"/>
        <w:ind w:firstLine="480"/>
        <w:rPr>
          <w:rFonts w:hint="default"/>
        </w:rPr>
      </w:pPr>
      <w:r>
        <w:t>（八）法律、法规和规章规定的其他职责。</w:t>
      </w:r>
    </w:p>
    <w:p w14:paraId="41EF3C33">
      <w:pPr>
        <w:pStyle w:val="12"/>
        <w:outlineLvl w:val="2"/>
        <w:rPr>
          <w:rFonts w:hint="default"/>
        </w:rPr>
      </w:pPr>
      <w:r>
        <w:rPr>
          <w:b/>
          <w:sz w:val="28"/>
        </w:rPr>
        <w:t>5.3.评标程序</w:t>
      </w:r>
    </w:p>
    <w:p w14:paraId="7071C775">
      <w:pPr>
        <w:pStyle w:val="12"/>
        <w:outlineLvl w:val="3"/>
        <w:rPr>
          <w:rFonts w:hint="default"/>
        </w:rPr>
      </w:pPr>
      <w:r>
        <w:rPr>
          <w:b/>
          <w:sz w:val="24"/>
        </w:rPr>
        <w:t>5.3.1.熟悉和理解招标文件</w:t>
      </w:r>
    </w:p>
    <w:p w14:paraId="7990F79A">
      <w:pPr>
        <w:pStyle w:val="12"/>
        <w:ind w:firstLine="480"/>
        <w:rPr>
          <w:rFonts w:hint="default"/>
        </w:rPr>
      </w:pPr>
      <w:r>
        <w:t>评标委员会正式评审前，应当对招标文件进行熟悉和理解，内容主要包括招标文件中采购项目技术、服务和商务要求、评审方法和标准以及</w:t>
      </w:r>
      <w:r>
        <w:rPr>
          <w:lang w:eastAsia="zh-CN"/>
        </w:rPr>
        <w:t>采购合同</w:t>
      </w:r>
      <w:r>
        <w:t>的内容等。</w:t>
      </w:r>
    </w:p>
    <w:p w14:paraId="152D6A47">
      <w:pPr>
        <w:pStyle w:val="12"/>
        <w:outlineLvl w:val="3"/>
        <w:rPr>
          <w:rFonts w:hint="default"/>
        </w:rPr>
      </w:pPr>
      <w:r>
        <w:rPr>
          <w:b/>
          <w:sz w:val="24"/>
        </w:rPr>
        <w:t>5.3.2.停止评标的情形</w:t>
      </w:r>
    </w:p>
    <w:p w14:paraId="75D28C75">
      <w:pPr>
        <w:pStyle w:val="12"/>
        <w:ind w:firstLine="480"/>
        <w:rPr>
          <w:rFonts w:hint="default"/>
        </w:rPr>
      </w:pPr>
      <w:r>
        <w:t>本招标文件有下列情形之一的，评标委员会应当停止评标：</w:t>
      </w:r>
    </w:p>
    <w:p w14:paraId="3EDCB621">
      <w:pPr>
        <w:pStyle w:val="12"/>
        <w:ind w:firstLine="480"/>
        <w:rPr>
          <w:rFonts w:hint="default"/>
        </w:rPr>
      </w:pPr>
      <w:r>
        <w:t>一、招标文件的规定存在歧义、重大缺陷，导致评标工作无法进行的；</w:t>
      </w:r>
    </w:p>
    <w:p w14:paraId="05AF7C43">
      <w:pPr>
        <w:pStyle w:val="12"/>
        <w:ind w:firstLine="480"/>
        <w:rPr>
          <w:rFonts w:hint="default"/>
        </w:rPr>
      </w:pPr>
      <w:r>
        <w:t>二、招标文件明显以不合理条件对投标人实行差别待遇或者歧视待遇的；</w:t>
      </w:r>
    </w:p>
    <w:p w14:paraId="7904BB7F">
      <w:pPr>
        <w:pStyle w:val="12"/>
        <w:ind w:firstLine="480"/>
        <w:rPr>
          <w:rFonts w:hint="default"/>
        </w:rPr>
      </w:pPr>
      <w:r>
        <w:t>三、采购项目属于国家规定的优先、强制采购范围，但是招标文件未依法体现优先、强制采购相关规定的；</w:t>
      </w:r>
    </w:p>
    <w:p w14:paraId="50F1F243">
      <w:pPr>
        <w:pStyle w:val="12"/>
        <w:ind w:firstLine="480"/>
        <w:rPr>
          <w:rFonts w:hint="default"/>
        </w:rPr>
      </w:pPr>
      <w:r>
        <w:rPr>
          <w:rFonts w:hint="eastAsia"/>
          <w:lang w:val="en-US" w:eastAsia="zh-CN"/>
        </w:rPr>
        <w:t>四</w:t>
      </w:r>
      <w:r>
        <w:t>、招标文件规定的评标方法是综合评分法、最低评标价法之外的评标方法，或者虽然名称为综合评分法、最低评标价法，但实际上不符合国家规定的；</w:t>
      </w:r>
    </w:p>
    <w:p w14:paraId="4F25EF44">
      <w:pPr>
        <w:pStyle w:val="12"/>
        <w:ind w:firstLine="480"/>
        <w:rPr>
          <w:rFonts w:hint="default"/>
        </w:rPr>
      </w:pPr>
      <w:r>
        <w:rPr>
          <w:rFonts w:hint="eastAsia"/>
          <w:lang w:val="en-US" w:eastAsia="zh-CN"/>
        </w:rPr>
        <w:t>五</w:t>
      </w:r>
      <w:r>
        <w:t>、招标文件将投标人的资格条件列为评分因素的；</w:t>
      </w:r>
    </w:p>
    <w:p w14:paraId="2E99719F">
      <w:pPr>
        <w:pStyle w:val="12"/>
        <w:ind w:firstLine="480"/>
        <w:rPr>
          <w:rFonts w:hint="default"/>
        </w:rPr>
      </w:pPr>
      <w:r>
        <w:rPr>
          <w:rFonts w:hint="eastAsia"/>
          <w:lang w:val="en-US" w:eastAsia="zh-CN"/>
        </w:rPr>
        <w:t>六</w:t>
      </w:r>
      <w:r>
        <w:t>、招标文件有违反国家其他有关强制性规定的情形。</w:t>
      </w:r>
    </w:p>
    <w:p w14:paraId="41934C79">
      <w:pPr>
        <w:pStyle w:val="12"/>
        <w:ind w:firstLine="480"/>
        <w:rPr>
          <w:rFonts w:hint="default"/>
        </w:rPr>
      </w:pPr>
      <w:r>
        <w:t>出现上述应当停止评标情形的，评标委员会应当向</w:t>
      </w:r>
      <w:r>
        <w:rPr>
          <w:lang w:eastAsia="zh-CN"/>
        </w:rPr>
        <w:t>采购人</w:t>
      </w:r>
      <w:r>
        <w:t>提交相关说明材料，说明停止评审的情形和具体理由。除上述情形外，评标委员会不得以任何方式和理由停止评标。</w:t>
      </w:r>
    </w:p>
    <w:p w14:paraId="795E6CD3">
      <w:pPr>
        <w:pStyle w:val="12"/>
        <w:ind w:firstLine="480"/>
        <w:rPr>
          <w:rFonts w:hint="default"/>
        </w:rPr>
      </w:pPr>
      <w:r>
        <w:t>出现上述应当停止评标情形的，</w:t>
      </w:r>
      <w:r>
        <w:rPr>
          <w:lang w:eastAsia="zh-CN"/>
        </w:rPr>
        <w:t>采购人</w:t>
      </w:r>
      <w:r>
        <w:t>应当将停止评标的情形和具体原因告知参加采购活动的投标人。</w:t>
      </w:r>
    </w:p>
    <w:p w14:paraId="495AD132">
      <w:pPr>
        <w:pStyle w:val="12"/>
        <w:outlineLvl w:val="3"/>
        <w:rPr>
          <w:rFonts w:hint="default"/>
        </w:rPr>
      </w:pPr>
      <w:r>
        <w:rPr>
          <w:b/>
          <w:sz w:val="24"/>
        </w:rPr>
        <w:t>5.3.3.符合性审查</w:t>
      </w:r>
    </w:p>
    <w:p w14:paraId="57DBA4DD">
      <w:pPr>
        <w:pStyle w:val="12"/>
        <w:ind w:firstLine="480"/>
        <w:rPr>
          <w:rFonts w:hint="default"/>
        </w:rPr>
      </w:pPr>
      <w:r>
        <w:t>评标委员会依据本招标文件的符合性审查要求，对符合资格要求投标人的投标文件进行符合性审查。</w:t>
      </w:r>
    </w:p>
    <w:p w14:paraId="7BA84B97">
      <w:pPr>
        <w:pStyle w:val="12"/>
        <w:ind w:firstLine="480"/>
        <w:rPr>
          <w:rFonts w:hint="default"/>
        </w:rPr>
      </w:pPr>
      <w:r>
        <w:t>在符合性审查过程中，如果出现评标委员会成员意见不一致的情况，按照少数服从多数的原则确定，但不得违反政府采购基本原则和招标文件规定。</w:t>
      </w:r>
    </w:p>
    <w:p w14:paraId="73312C30">
      <w:pPr>
        <w:pStyle w:val="12"/>
        <w:ind w:firstLine="480"/>
        <w:rPr>
          <w:rFonts w:hint="default"/>
        </w:rPr>
      </w:pPr>
      <w:r>
        <w:t>符合性审查标准见下表：</w:t>
      </w:r>
    </w:p>
    <w:p w14:paraId="20B05A3E">
      <w:pPr>
        <w:pStyle w:val="12"/>
        <w:ind w:firstLine="480"/>
        <w:rPr>
          <w:rFonts w:hint="default"/>
          <w:lang w:eastAsia="zh-CN"/>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6"/>
        <w:gridCol w:w="2327"/>
        <w:gridCol w:w="3985"/>
        <w:gridCol w:w="2160"/>
      </w:tblGrid>
      <w:tr w14:paraId="29504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vAlign w:val="center"/>
          </w:tcPr>
          <w:p w14:paraId="61421BE2">
            <w:pPr>
              <w:pStyle w:val="12"/>
              <w:jc w:val="center"/>
              <w:rPr>
                <w:rFonts w:hint="default"/>
              </w:rPr>
            </w:pPr>
            <w:r>
              <w:t>序号</w:t>
            </w:r>
          </w:p>
        </w:tc>
        <w:tc>
          <w:tcPr>
            <w:tcW w:w="2327" w:type="dxa"/>
            <w:vAlign w:val="center"/>
          </w:tcPr>
          <w:p w14:paraId="45B47E90">
            <w:pPr>
              <w:pStyle w:val="12"/>
              <w:jc w:val="center"/>
              <w:rPr>
                <w:rFonts w:hint="default"/>
              </w:rPr>
            </w:pPr>
            <w:r>
              <w:t>符合性审查内容</w:t>
            </w:r>
          </w:p>
        </w:tc>
        <w:tc>
          <w:tcPr>
            <w:tcW w:w="3985" w:type="dxa"/>
            <w:vAlign w:val="center"/>
          </w:tcPr>
          <w:p w14:paraId="34A0CA1A">
            <w:pPr>
              <w:pStyle w:val="12"/>
              <w:jc w:val="center"/>
              <w:rPr>
                <w:rFonts w:hint="default"/>
              </w:rPr>
            </w:pPr>
            <w:r>
              <w:t>具体标准和要求</w:t>
            </w:r>
          </w:p>
        </w:tc>
        <w:tc>
          <w:tcPr>
            <w:tcW w:w="2160" w:type="dxa"/>
            <w:vAlign w:val="center"/>
          </w:tcPr>
          <w:p w14:paraId="749DC5EC">
            <w:pPr>
              <w:pStyle w:val="12"/>
              <w:jc w:val="center"/>
              <w:rPr>
                <w:b/>
              </w:rPr>
            </w:pPr>
            <w:r>
              <w:rPr>
                <w:b/>
              </w:rPr>
              <w:t>关联投标文件</w:t>
            </w:r>
          </w:p>
          <w:p w14:paraId="36C3485A">
            <w:pPr>
              <w:pStyle w:val="12"/>
              <w:jc w:val="center"/>
              <w:rPr>
                <w:rFonts w:hint="default"/>
              </w:rPr>
            </w:pPr>
            <w:r>
              <w:rPr>
                <w:b/>
              </w:rPr>
              <w:t>格式文本</w:t>
            </w:r>
          </w:p>
        </w:tc>
      </w:tr>
      <w:tr w14:paraId="43E3C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2BEAC55F">
            <w:pPr>
              <w:pStyle w:val="12"/>
              <w:jc w:val="center"/>
              <w:rPr>
                <w:rFonts w:hint="default"/>
              </w:rPr>
            </w:pPr>
            <w:r>
              <w:t>1</w:t>
            </w:r>
          </w:p>
        </w:tc>
        <w:tc>
          <w:tcPr>
            <w:tcW w:w="2327" w:type="dxa"/>
          </w:tcPr>
          <w:p w14:paraId="2D933E7D">
            <w:pPr>
              <w:pStyle w:val="12"/>
              <w:rPr>
                <w:rFonts w:hint="default"/>
              </w:rPr>
            </w:pPr>
            <w:r>
              <w:t>需要投标人进行承诺的实质性要求。</w:t>
            </w:r>
          </w:p>
        </w:tc>
        <w:tc>
          <w:tcPr>
            <w:tcW w:w="3985" w:type="dxa"/>
          </w:tcPr>
          <w:p w14:paraId="7A462F1D">
            <w:pPr>
              <w:pStyle w:val="12"/>
              <w:rPr>
                <w:rFonts w:hint="default"/>
              </w:rPr>
            </w:pPr>
            <w:r>
              <w:t>无需投标人单独提供材料进行响应，只需投标人承诺严格遵守并执行的相关实质性要求。</w:t>
            </w:r>
          </w:p>
        </w:tc>
        <w:tc>
          <w:tcPr>
            <w:tcW w:w="2160" w:type="dxa"/>
          </w:tcPr>
          <w:p w14:paraId="6A299D87">
            <w:pPr>
              <w:pStyle w:val="12"/>
              <w:rPr>
                <w:rFonts w:hint="default"/>
              </w:rPr>
            </w:pPr>
            <w:r>
              <w:t>(公开招标)需要供应商进行承诺的实质性要求的承诺函</w:t>
            </w:r>
          </w:p>
        </w:tc>
      </w:tr>
      <w:tr w14:paraId="5E90C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6A90A711">
            <w:pPr>
              <w:pStyle w:val="12"/>
              <w:jc w:val="center"/>
              <w:rPr>
                <w:rFonts w:hint="default"/>
              </w:rPr>
            </w:pPr>
            <w:r>
              <w:t>2</w:t>
            </w:r>
          </w:p>
        </w:tc>
        <w:tc>
          <w:tcPr>
            <w:tcW w:w="2327" w:type="dxa"/>
          </w:tcPr>
          <w:p w14:paraId="52DBFA73">
            <w:pPr>
              <w:pStyle w:val="12"/>
              <w:rPr>
                <w:rFonts w:hint="default"/>
              </w:rPr>
            </w:pPr>
            <w:r>
              <w:t>其他符合性审查(实质性要求)</w:t>
            </w:r>
          </w:p>
        </w:tc>
        <w:tc>
          <w:tcPr>
            <w:tcW w:w="3985" w:type="dxa"/>
          </w:tcPr>
          <w:p w14:paraId="37D6732A">
            <w:pPr>
              <w:pStyle w:val="12"/>
              <w:rPr>
                <w:rFonts w:hint="default"/>
              </w:rPr>
            </w:pPr>
            <w:r>
              <w:t>1.投标文件组成明显不符合招标文件的规定要求，影响评标委员会评判的。2.投标文件的格式、语言、计量单位、报价货币、知识产权、投标有效期等不符合招标文件的规定，影响评标委员会评判的。3.投标报价不符合招标文件规定的采购预算或限价或其他报价规定的。4.商务、技术、服务应答内容没有完全响应招标文件的实质性要求的。5.未载明或者载明的招标项目履约时间、方式、数量及其他</w:t>
            </w:r>
            <w:r>
              <w:rPr>
                <w:lang w:eastAsia="zh-CN"/>
              </w:rPr>
              <w:t>采购合同</w:t>
            </w:r>
            <w:r>
              <w:t>实质性内容与招标文件要求不一致，且招标单位无法接受的。</w:t>
            </w:r>
          </w:p>
        </w:tc>
        <w:tc>
          <w:tcPr>
            <w:tcW w:w="2160" w:type="dxa"/>
          </w:tcPr>
          <w:p w14:paraId="221A2A67">
            <w:pPr>
              <w:pStyle w:val="12"/>
              <w:rPr>
                <w:rFonts w:hint="default"/>
              </w:rPr>
            </w:pPr>
            <w:r>
              <w:t>报价表 投标（响应）函 服务要求应答表 商务要求应答表（公开招标） (公开招标)需要供应商进行承诺的实质性要求的承诺函</w:t>
            </w:r>
          </w:p>
        </w:tc>
      </w:tr>
      <w:tr w14:paraId="5297B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6" w:type="dxa"/>
          </w:tcPr>
          <w:p w14:paraId="4644793E">
            <w:pPr>
              <w:pStyle w:val="12"/>
              <w:jc w:val="center"/>
              <w:rPr>
                <w:rFonts w:hint="default"/>
              </w:rPr>
            </w:pPr>
            <w:r>
              <w:t>3</w:t>
            </w:r>
          </w:p>
        </w:tc>
        <w:tc>
          <w:tcPr>
            <w:tcW w:w="2327" w:type="dxa"/>
          </w:tcPr>
          <w:p w14:paraId="00F7E6CD">
            <w:pPr>
              <w:pStyle w:val="12"/>
              <w:rPr>
                <w:rFonts w:hint="default"/>
              </w:rPr>
            </w:pPr>
            <w:r>
              <w:t>不正当竞争预防措施（实质性要求）</w:t>
            </w:r>
          </w:p>
        </w:tc>
        <w:tc>
          <w:tcPr>
            <w:tcW w:w="3985" w:type="dxa"/>
          </w:tcPr>
          <w:p w14:paraId="29A76022">
            <w:pPr>
              <w:pStyle w:val="12"/>
              <w:rPr>
                <w:rFonts w:hint="default"/>
              </w:rPr>
            </w:pPr>
            <w:r>
              <w:t>在评标过程中，评标委员会认为投标人投标报价明显</w:t>
            </w:r>
            <w:r>
              <w:rPr>
                <w:lang w:eastAsia="zh-CN"/>
              </w:rPr>
              <w:t>高于</w:t>
            </w:r>
            <w:r>
              <w:t>其他通过符合性审查投标人的投标报价，有可能影响</w:t>
            </w:r>
            <w:r>
              <w:rPr>
                <w:lang w:eastAsia="zh-CN"/>
              </w:rPr>
              <w:t>服务</w:t>
            </w:r>
            <w:r>
              <w:t>质量或者不能诚信履约的，评标委员会应当要求其在合理的时间内通过</w:t>
            </w:r>
            <w:r>
              <w:rPr>
                <w:lang w:eastAsia="zh-CN"/>
              </w:rPr>
              <w:t>指定方式</w:t>
            </w:r>
            <w:r>
              <w:t>进行书面说明，必要时提交相关证明材料。投标人提交的书面说明，应当加盖投标人公章，在评标委员会要求的时间内通过</w:t>
            </w:r>
            <w:r>
              <w:rPr>
                <w:lang w:eastAsia="zh-CN"/>
              </w:rPr>
              <w:t>指定方式</w:t>
            </w:r>
            <w:r>
              <w:t>进行提交，否则视为不能证明其投标报价合理性。投标人不能证明其投标报价合理性的，评标委员会应当将其投标文件作为无效投标处理。</w:t>
            </w:r>
          </w:p>
        </w:tc>
        <w:tc>
          <w:tcPr>
            <w:tcW w:w="2160" w:type="dxa"/>
          </w:tcPr>
          <w:p w14:paraId="2C9C817E">
            <w:pPr>
              <w:pStyle w:val="12"/>
              <w:rPr>
                <w:rFonts w:hint="default"/>
              </w:rPr>
            </w:pPr>
            <w:r>
              <w:t>报价表</w:t>
            </w:r>
          </w:p>
        </w:tc>
      </w:tr>
    </w:tbl>
    <w:p w14:paraId="3598E736">
      <w:pPr>
        <w:pStyle w:val="12"/>
        <w:ind w:firstLine="480"/>
        <w:rPr>
          <w:rFonts w:hint="default"/>
        </w:rPr>
      </w:pPr>
    </w:p>
    <w:p w14:paraId="1D2A87F3">
      <w:pPr>
        <w:pStyle w:val="12"/>
        <w:ind w:firstLine="480"/>
        <w:rPr>
          <w:rFonts w:hint="default"/>
        </w:rPr>
      </w:pPr>
      <w:r>
        <w:t>投标文件满足以上符合性审查要求的，则通过符合性审查；如有任意一项未满足符合性审查要求的，则按无效投标处理，并在评标报告中载明未通过符合性审查的具体原因。</w:t>
      </w:r>
    </w:p>
    <w:p w14:paraId="3D3A6026">
      <w:pPr>
        <w:pStyle w:val="12"/>
        <w:ind w:firstLine="480"/>
        <w:rPr>
          <w:rFonts w:hint="default"/>
        </w:rPr>
      </w:pPr>
    </w:p>
    <w:p w14:paraId="012982F0">
      <w:pPr>
        <w:pStyle w:val="12"/>
        <w:outlineLvl w:val="3"/>
        <w:rPr>
          <w:rFonts w:hint="default"/>
        </w:rPr>
      </w:pPr>
      <w:r>
        <w:rPr>
          <w:b/>
          <w:sz w:val="24"/>
        </w:rPr>
        <w:t>5.3.4.解释、澄清、说明的有关问题</w:t>
      </w:r>
    </w:p>
    <w:p w14:paraId="009BD16E">
      <w:pPr>
        <w:pStyle w:val="12"/>
        <w:ind w:firstLine="480"/>
        <w:rPr>
          <w:rFonts w:hint="default"/>
        </w:rPr>
      </w:pPr>
      <w:r>
        <w:t>一、评标过程中，评标委员会认为招标文件有关事项表述不明确或需要说明的，可以要求</w:t>
      </w:r>
      <w:r>
        <w:rPr>
          <w:lang w:eastAsia="zh-CN"/>
        </w:rPr>
        <w:t>采购人</w:t>
      </w:r>
      <w:r>
        <w:t>书面解释。</w:t>
      </w:r>
      <w:r>
        <w:rPr>
          <w:lang w:eastAsia="zh-CN"/>
        </w:rPr>
        <w:t>采购人</w:t>
      </w:r>
      <w:r>
        <w:t>的解释不得改变招标文件的原义或者影响公平、公正。</w:t>
      </w:r>
    </w:p>
    <w:p w14:paraId="360DAC0D">
      <w:pPr>
        <w:pStyle w:val="12"/>
        <w:ind w:firstLine="480"/>
        <w:rPr>
          <w:rFonts w:hint="default"/>
        </w:rPr>
      </w:pPr>
      <w:r>
        <w:t>二、对投标文件中含义不明确、同类问题表述不一致或者有明显文字和计算错误的内容，评标委员会应当要求投标人作出必要的澄清、说明或者补正，并给予投标人必要的反馈时间。投标人应当书面进行澄清、说明或者补正，澄清、说明或者补正不影响投标文件的效力，有效的澄清、说明或者补正材料是投标文件的组成部分。投标人的澄清、说明或者补正不得超出投标文件的范围或者改变投标文件的实质性内容，不得影响投标人公平竞争。</w:t>
      </w:r>
    </w:p>
    <w:p w14:paraId="54286F0B">
      <w:pPr>
        <w:pStyle w:val="12"/>
        <w:ind w:firstLine="480"/>
        <w:rPr>
          <w:rFonts w:hint="default"/>
        </w:rPr>
      </w:pPr>
      <w:r>
        <w:t>三、投标文件报价出现前后不一致的，除招标文件另有规定外，按照下列规定修正：</w:t>
      </w:r>
    </w:p>
    <w:p w14:paraId="16E8A022">
      <w:pPr>
        <w:pStyle w:val="12"/>
        <w:ind w:firstLine="480"/>
        <w:rPr>
          <w:rFonts w:hint="default"/>
        </w:rPr>
      </w:pPr>
      <w:r>
        <w:t>（一）投标文件中报价表内容与投标文件中相应内容不一致的，以报价表为准；</w:t>
      </w:r>
    </w:p>
    <w:p w14:paraId="5AD069AE">
      <w:pPr>
        <w:pStyle w:val="12"/>
        <w:ind w:firstLine="480"/>
        <w:rPr>
          <w:rFonts w:hint="default"/>
        </w:rPr>
      </w:pPr>
      <w:r>
        <w:t>（二）大写金额和小写金额不一致的，以大写金额为准；</w:t>
      </w:r>
    </w:p>
    <w:p w14:paraId="26BFF911">
      <w:pPr>
        <w:pStyle w:val="12"/>
        <w:ind w:firstLine="480"/>
        <w:rPr>
          <w:rFonts w:hint="default"/>
        </w:rPr>
      </w:pPr>
      <w:r>
        <w:t>（三）单价金额小数点或者百分比有明显错位的，以报价表总价为准，并修改单价；</w:t>
      </w:r>
    </w:p>
    <w:p w14:paraId="4037C0CA">
      <w:pPr>
        <w:pStyle w:val="12"/>
        <w:ind w:firstLine="480"/>
        <w:rPr>
          <w:rFonts w:hint="default"/>
        </w:rPr>
      </w:pPr>
      <w:r>
        <w:t>（四）总价金额与按单价汇总金额不一致的，以单价金额计算结果为准。</w:t>
      </w:r>
    </w:p>
    <w:p w14:paraId="16777A0F">
      <w:pPr>
        <w:pStyle w:val="12"/>
        <w:ind w:firstLine="480"/>
        <w:rPr>
          <w:rFonts w:hint="default"/>
        </w:rPr>
      </w:pPr>
      <w:r>
        <w:t>同时出现两种以上不一致的，按照前款规定的顺序修正。修正后的报价由投标人加盖印章确认提交后产生约束力，投标人不确认的，其投标无效。</w:t>
      </w:r>
    </w:p>
    <w:p w14:paraId="4FFAF7E8">
      <w:pPr>
        <w:pStyle w:val="12"/>
        <w:ind w:firstLine="480"/>
        <w:rPr>
          <w:rFonts w:hint="default"/>
        </w:rPr>
      </w:pPr>
      <w:r>
        <w:t>四、对不同语言文本投标文件的解释发生异议的，以中文文本为准。</w:t>
      </w:r>
    </w:p>
    <w:p w14:paraId="67D1B767">
      <w:pPr>
        <w:pStyle w:val="12"/>
        <w:ind w:firstLine="480"/>
        <w:rPr>
          <w:rFonts w:hint="default"/>
        </w:rPr>
      </w:pPr>
      <w:r>
        <w:t>五、</w:t>
      </w:r>
      <w:r>
        <w:rPr>
          <w:lang w:eastAsia="zh-CN"/>
        </w:rPr>
        <w:t>采购人</w:t>
      </w:r>
      <w:r>
        <w:t>宣布评标结束前，投标人应及时响应评标委员会发出的澄清、说明或补正或者确认要求。投标人未能及时响应的，自行承担不利后果。</w:t>
      </w:r>
    </w:p>
    <w:p w14:paraId="7BE2C9CD">
      <w:pPr>
        <w:pStyle w:val="12"/>
        <w:ind w:firstLine="480"/>
        <w:rPr>
          <w:rFonts w:hint="default"/>
        </w:rPr>
      </w:pPr>
      <w:r>
        <w:t>六、评标委员会应当积极履行澄清、说明或者补正的职责，不得滥用权力。投标人的投标文件可以要求澄清、说明或者补正的，不得未经澄清、说明或者补正而直接作无效投标处理。</w:t>
      </w:r>
    </w:p>
    <w:p w14:paraId="6108D58D">
      <w:pPr>
        <w:pStyle w:val="12"/>
        <w:outlineLvl w:val="3"/>
        <w:rPr>
          <w:rFonts w:hint="default"/>
        </w:rPr>
      </w:pPr>
      <w:r>
        <w:rPr>
          <w:b/>
          <w:sz w:val="24"/>
        </w:rPr>
        <w:t>5.3.5.比较与评价</w:t>
      </w:r>
    </w:p>
    <w:p w14:paraId="4D4BEAED">
      <w:pPr>
        <w:pStyle w:val="12"/>
        <w:ind w:firstLine="480"/>
        <w:rPr>
          <w:rFonts w:hint="default"/>
        </w:rPr>
      </w:pPr>
      <w:r>
        <w:t>评标委员会应当按照招标文件规定的评标细则及标准，对符合性审查合格的投标文件进行商务和技术评估，综合比较和评价。</w:t>
      </w:r>
    </w:p>
    <w:p w14:paraId="21ED988B">
      <w:pPr>
        <w:pStyle w:val="12"/>
        <w:outlineLvl w:val="3"/>
        <w:rPr>
          <w:rFonts w:hint="default"/>
        </w:rPr>
      </w:pPr>
      <w:r>
        <w:rPr>
          <w:b/>
          <w:sz w:val="24"/>
        </w:rPr>
        <w:t>5.3.6.评标委员会复核</w:t>
      </w:r>
    </w:p>
    <w:p w14:paraId="039B1438">
      <w:pPr>
        <w:pStyle w:val="12"/>
        <w:ind w:firstLine="480"/>
        <w:rPr>
          <w:rFonts w:hint="default"/>
        </w:rPr>
      </w:pPr>
      <w:r>
        <w:t>评分汇总结束后，评标委员会应当进行复核，对拟推荐为中标候选人的、报价最</w:t>
      </w:r>
      <w:r>
        <w:rPr>
          <w:lang w:eastAsia="zh-CN"/>
        </w:rPr>
        <w:t>高</w:t>
      </w:r>
      <w:r>
        <w:t>的、投标文件被认定为无效的进行重点复核。</w:t>
      </w:r>
    </w:p>
    <w:p w14:paraId="1E05EC1F">
      <w:pPr>
        <w:pStyle w:val="12"/>
        <w:outlineLvl w:val="3"/>
        <w:rPr>
          <w:rFonts w:hint="default"/>
        </w:rPr>
      </w:pPr>
      <w:r>
        <w:rPr>
          <w:b/>
          <w:sz w:val="24"/>
        </w:rPr>
        <w:t>5.3.7.现场复核评审结果</w:t>
      </w:r>
    </w:p>
    <w:p w14:paraId="103A4C3E">
      <w:pPr>
        <w:pStyle w:val="12"/>
        <w:ind w:firstLine="480"/>
        <w:rPr>
          <w:rFonts w:hint="default"/>
        </w:rPr>
      </w:pPr>
      <w:r>
        <w:t>一、评分汇总结束后，评标委员会拟出具评标报告前，</w:t>
      </w:r>
      <w:r>
        <w:rPr>
          <w:lang w:eastAsia="zh-CN"/>
        </w:rPr>
        <w:t>采购人</w:t>
      </w:r>
      <w:r>
        <w:t>应当组织2名以上的本单位工作人员，在采购现场监督人员的监督之下，依据有关的法律制度和招标文件对评审结果进行复核，出具复核报告。存在下列情形之一的，</w:t>
      </w:r>
      <w:r>
        <w:rPr>
          <w:lang w:eastAsia="zh-CN"/>
        </w:rPr>
        <w:t>采购人</w:t>
      </w:r>
      <w:r>
        <w:t>应当根据情况书面建议评标委员会现场修改评审结果或者重新评审，由评标委员会自主决定是否采纳</w:t>
      </w:r>
      <w:r>
        <w:rPr>
          <w:lang w:eastAsia="zh-CN"/>
        </w:rPr>
        <w:t>采购人</w:t>
      </w:r>
      <w:r>
        <w:t>的书面建议，并承担独立评审责任：</w:t>
      </w:r>
    </w:p>
    <w:p w14:paraId="74921393">
      <w:pPr>
        <w:pStyle w:val="12"/>
        <w:ind w:firstLine="480"/>
        <w:rPr>
          <w:rFonts w:hint="default"/>
        </w:rPr>
      </w:pPr>
      <w:r>
        <w:t>（一）分值汇总计算错误的；</w:t>
      </w:r>
    </w:p>
    <w:p w14:paraId="08A41FB5">
      <w:pPr>
        <w:pStyle w:val="12"/>
        <w:ind w:firstLine="480"/>
        <w:rPr>
          <w:rFonts w:hint="default"/>
        </w:rPr>
      </w:pPr>
      <w:r>
        <w:t>（二）分项评分超出评分标准范围的；</w:t>
      </w:r>
    </w:p>
    <w:p w14:paraId="3863C39B">
      <w:pPr>
        <w:pStyle w:val="12"/>
        <w:ind w:firstLine="480"/>
        <w:rPr>
          <w:rFonts w:hint="default"/>
        </w:rPr>
      </w:pPr>
      <w:r>
        <w:t>（三）评标委员会成员对客观评审因素评分不一致的；</w:t>
      </w:r>
    </w:p>
    <w:p w14:paraId="7D97B76C">
      <w:pPr>
        <w:pStyle w:val="12"/>
        <w:ind w:firstLine="480"/>
        <w:rPr>
          <w:rFonts w:hint="default"/>
        </w:rPr>
      </w:pPr>
      <w:r>
        <w:t>（四）经评标委员会认定评分畸高、畸低的。</w:t>
      </w:r>
    </w:p>
    <w:p w14:paraId="7F61B81D">
      <w:pPr>
        <w:pStyle w:val="12"/>
        <w:ind w:firstLine="480"/>
        <w:rPr>
          <w:rFonts w:hint="default"/>
        </w:rPr>
      </w:pPr>
      <w:r>
        <w:t>二、评标委员会采纳</w:t>
      </w:r>
      <w:r>
        <w:rPr>
          <w:lang w:eastAsia="zh-CN"/>
        </w:rPr>
        <w:t>采购人</w:t>
      </w:r>
      <w:r>
        <w:t>书面建议的，应当按照规定现场修改评审结果或者重新评审，并在评标报告中详细记载有关事宜；不采纳</w:t>
      </w:r>
      <w:r>
        <w:rPr>
          <w:lang w:eastAsia="zh-CN"/>
        </w:rPr>
        <w:t>采购人</w:t>
      </w:r>
      <w:r>
        <w:t>书面建议的，应当书面说明理由。</w:t>
      </w:r>
      <w:r>
        <w:rPr>
          <w:lang w:eastAsia="zh-CN"/>
        </w:rPr>
        <w:t>采购人</w:t>
      </w:r>
      <w:r>
        <w:t>书面建议未被评标委员会采纳的，应当按照规定程序要求继续组织实施采购活动，不得擅自中止采购活动。</w:t>
      </w:r>
      <w:r>
        <w:rPr>
          <w:lang w:eastAsia="zh-CN"/>
        </w:rPr>
        <w:t>采购人</w:t>
      </w:r>
      <w:r>
        <w:t>认为评标委员会评审结果不合法的，应当书面报告采购项目</w:t>
      </w:r>
      <w:r>
        <w:rPr>
          <w:lang w:eastAsia="zh-CN"/>
        </w:rPr>
        <w:t>管理</w:t>
      </w:r>
      <w:r>
        <w:t>部门依法处理。</w:t>
      </w:r>
    </w:p>
    <w:p w14:paraId="37BF395F">
      <w:pPr>
        <w:pStyle w:val="12"/>
        <w:ind w:firstLine="480"/>
        <w:rPr>
          <w:rFonts w:hint="default"/>
        </w:rPr>
      </w:pPr>
      <w:r>
        <w:t>三、</w:t>
      </w:r>
      <w:r>
        <w:rPr>
          <w:lang w:eastAsia="zh-CN"/>
        </w:rPr>
        <w:t>采购人</w:t>
      </w:r>
      <w:r>
        <w:t>复核过程中，评标委员会成员不得离开评审现场。</w:t>
      </w:r>
    </w:p>
    <w:p w14:paraId="15E7B181">
      <w:pPr>
        <w:pStyle w:val="12"/>
        <w:ind w:firstLine="480"/>
        <w:rPr>
          <w:rFonts w:hint="default"/>
        </w:rPr>
      </w:pPr>
    </w:p>
    <w:p w14:paraId="255191EF">
      <w:pPr>
        <w:pStyle w:val="12"/>
        <w:outlineLvl w:val="3"/>
        <w:rPr>
          <w:rFonts w:hint="default"/>
        </w:rPr>
      </w:pPr>
      <w:r>
        <w:rPr>
          <w:b/>
          <w:sz w:val="24"/>
        </w:rPr>
        <w:t>5.3.8.确定中标候选人名单</w:t>
      </w:r>
    </w:p>
    <w:p w14:paraId="3A9D23D5">
      <w:pPr>
        <w:pStyle w:val="12"/>
        <w:ind w:firstLine="480"/>
        <w:rPr>
          <w:rFonts w:hint="default"/>
        </w:rPr>
      </w:pPr>
      <w:r>
        <w:t>确定3名中标候选人。</w:t>
      </w:r>
    </w:p>
    <w:p w14:paraId="2D0B5C1A">
      <w:pPr>
        <w:pStyle w:val="12"/>
        <w:ind w:firstLine="480"/>
        <w:rPr>
          <w:rFonts w:hint="default"/>
        </w:rPr>
      </w:pPr>
      <w:r>
        <w:t>一、若采用综合评分法的，按投标人评审得分从高到低顺序排列；投标文件满足招标文件全部实质性要求，且按照评审因素的量化指标评审得分最高的投标人为排名第一的中标候选人。评审得分相同的，按投标报价由</w:t>
      </w:r>
      <w:r>
        <w:rPr>
          <w:lang w:eastAsia="zh-CN"/>
        </w:rPr>
        <w:t>高</w:t>
      </w:r>
      <w:r>
        <w:t>到</w:t>
      </w:r>
      <w:r>
        <w:rPr>
          <w:lang w:eastAsia="zh-CN"/>
        </w:rPr>
        <w:t>低</w:t>
      </w:r>
      <w:r>
        <w:t>顺序排列；评审得分且投标报价均相同的，按投标人提供的经评审认定有效的优先采购产品认证证书数量由多到少顺序排列；评审得分且投标报价且提供的经评审认定有效的优先采购产品认证证书数量相同的并列。投标人响应的产品同时具有节能产品认证证书、环境标志产品认证证书的，按认定有效的节能产品认证证书、环境标志产品认证证书数量累计计算。中标候选人并列的，由评标委员会根据招标文件规定的推荐中标候选人数量，在排名并列的中标候选人中，采取随机抽取的方式确定中标候选人排名顺序。</w:t>
      </w:r>
    </w:p>
    <w:p w14:paraId="182B796F">
      <w:pPr>
        <w:pStyle w:val="12"/>
        <w:ind w:firstLine="480"/>
        <w:rPr>
          <w:rFonts w:hint="default"/>
        </w:rPr>
      </w:pPr>
      <w:r>
        <w:t>如本项目的采购包涉及核心产品的，在按投标人评审得分从高到低顺序排列环节前，对提供相同品牌产品且通过资格审查、符合性审查的不同投标人参加同一合同项下投标的，按一家投标人计算（任意一个核心产品是相同品牌时视为提供相同品牌产品的投标人），评审后得分最高的同品牌投标人获得中标人推荐资格；评审得分相同的，由采购人或者采购人委托评标委员会采取随机抽取方式确定一个投标人获得中标人推荐资格，其他同品牌投标人不作为中标候选人。</w:t>
      </w:r>
    </w:p>
    <w:p w14:paraId="74F9BE21">
      <w:pPr>
        <w:pStyle w:val="12"/>
        <w:ind w:firstLine="480"/>
        <w:rPr>
          <w:rFonts w:hint="default"/>
        </w:rPr>
      </w:pPr>
      <w:r>
        <w:t>二、若采用最低评标价法的，按投标人投标报价从</w:t>
      </w:r>
      <w:r>
        <w:rPr>
          <w:lang w:eastAsia="zh-CN"/>
        </w:rPr>
        <w:t>高</w:t>
      </w:r>
      <w:r>
        <w:t>到</w:t>
      </w:r>
      <w:r>
        <w:rPr>
          <w:lang w:eastAsia="zh-CN"/>
        </w:rPr>
        <w:t>低</w:t>
      </w:r>
      <w:r>
        <w:t>顺序排列，投标文件满足招标文件全部实质性要求且投标报价最</w:t>
      </w:r>
      <w:r>
        <w:rPr>
          <w:lang w:eastAsia="zh-CN"/>
        </w:rPr>
        <w:t>高</w:t>
      </w:r>
      <w:r>
        <w:t>的投标人为排名第一的中标候选人。投标报价相同的，按投标人提供的经评审认定有效的优先采购产品认证证书数量由多到少顺序排列；投标报价且提供的经评审认定有效的优先采购产品认证证书数量相同的并列。投标人响应的产品同时具有节能产品认证证书、环境标志产品认证证书的，按认定有效的节能产品认证证书、环境标志产品认证证书数量累计计算。中标候选人并列的，由评标委员会根据招标文件规定的推荐中标候选人数量，在排名并列的中标候选人中，采取随机抽取的方式确定中标候选人排名顺序。</w:t>
      </w:r>
    </w:p>
    <w:p w14:paraId="6761E4F6">
      <w:pPr>
        <w:pStyle w:val="12"/>
        <w:ind w:firstLine="480"/>
        <w:rPr>
          <w:rFonts w:hint="default"/>
        </w:rPr>
      </w:pPr>
      <w:r>
        <w:t>如本项目的采购包涉及核心产品的，在对投标报价进行评标前，对提供相同品牌产品的不同投标人参加同一合同项下投标的，以其中通过资格审查、符合性审查且报价最</w:t>
      </w:r>
      <w:r>
        <w:rPr>
          <w:lang w:eastAsia="zh-CN"/>
        </w:rPr>
        <w:t>高</w:t>
      </w:r>
      <w:r>
        <w:t>的投标人参加评标（任意一个核心产品是相同品牌时视为提供相同品牌产品的投标人）；报价相同的，由采购人或者采购人委托评标委员会按照随机抽取方式确定一名投标人参加评标，其他投标无效。</w:t>
      </w:r>
    </w:p>
    <w:p w14:paraId="0F8DFD16">
      <w:pPr>
        <w:pStyle w:val="12"/>
        <w:ind w:firstLine="480"/>
        <w:rPr>
          <w:rFonts w:hint="default"/>
        </w:rPr>
      </w:pPr>
    </w:p>
    <w:p w14:paraId="153DB665">
      <w:pPr>
        <w:pStyle w:val="12"/>
        <w:outlineLvl w:val="3"/>
        <w:rPr>
          <w:rFonts w:hint="default"/>
        </w:rPr>
      </w:pPr>
      <w:r>
        <w:rPr>
          <w:b/>
          <w:sz w:val="24"/>
        </w:rPr>
        <w:t>5.3.9.出具评标报告</w:t>
      </w:r>
    </w:p>
    <w:p w14:paraId="7563A800">
      <w:pPr>
        <w:pStyle w:val="12"/>
        <w:ind w:firstLine="480"/>
        <w:rPr>
          <w:rFonts w:hint="default"/>
        </w:rPr>
      </w:pPr>
      <w:r>
        <w:t>评标报告是评标委员会根据全体评标成员签署的评标记录和评标结果编写的报告，其主要内容包括：</w:t>
      </w:r>
    </w:p>
    <w:p w14:paraId="2F799358">
      <w:pPr>
        <w:pStyle w:val="12"/>
        <w:ind w:firstLine="480"/>
        <w:rPr>
          <w:rFonts w:hint="default"/>
        </w:rPr>
      </w:pPr>
      <w:r>
        <w:t>一、招标公告刊登的媒体名称、开标日期和地点；</w:t>
      </w:r>
    </w:p>
    <w:p w14:paraId="7428CA9E">
      <w:pPr>
        <w:pStyle w:val="12"/>
        <w:ind w:firstLine="480"/>
        <w:rPr>
          <w:rFonts w:hint="default"/>
        </w:rPr>
      </w:pPr>
      <w:r>
        <w:t>二、投标人名单和评标委员会成员名单；</w:t>
      </w:r>
    </w:p>
    <w:p w14:paraId="0FA316D2">
      <w:pPr>
        <w:pStyle w:val="12"/>
        <w:ind w:firstLine="480"/>
        <w:rPr>
          <w:rFonts w:hint="default"/>
        </w:rPr>
      </w:pPr>
      <w:r>
        <w:t>三、评标方法和标准；</w:t>
      </w:r>
    </w:p>
    <w:p w14:paraId="290BC997">
      <w:pPr>
        <w:pStyle w:val="12"/>
        <w:ind w:firstLine="480"/>
        <w:rPr>
          <w:rFonts w:hint="default"/>
        </w:rPr>
      </w:pPr>
      <w:r>
        <w:t>四、开标记录和评标情况及说明，包括投标无效投标人名单及原因；</w:t>
      </w:r>
    </w:p>
    <w:p w14:paraId="183121C9">
      <w:pPr>
        <w:pStyle w:val="12"/>
        <w:ind w:firstLine="480"/>
        <w:rPr>
          <w:rFonts w:hint="default"/>
        </w:rPr>
      </w:pPr>
      <w:r>
        <w:t>五、评标结果，确定的中标候选人名单或者经采购人委托直接确定的中标人；</w:t>
      </w:r>
    </w:p>
    <w:p w14:paraId="6C5FF5EB">
      <w:pPr>
        <w:pStyle w:val="12"/>
        <w:ind w:firstLine="480"/>
        <w:rPr>
          <w:rFonts w:hint="default"/>
        </w:rPr>
      </w:pPr>
      <w:r>
        <w:t>六、其他需要说明的情况，包括评标过程中投标人根据评标委员会要求进行的澄清、说明或者补正，评标委员会成员的更换等；</w:t>
      </w:r>
    </w:p>
    <w:p w14:paraId="5101E48D">
      <w:pPr>
        <w:pStyle w:val="12"/>
        <w:ind w:firstLine="480"/>
        <w:rPr>
          <w:rFonts w:hint="default"/>
        </w:rPr>
      </w:pPr>
      <w:r>
        <w:t>七、报价最</w:t>
      </w:r>
      <w:r>
        <w:rPr>
          <w:lang w:eastAsia="zh-CN"/>
        </w:rPr>
        <w:t>低</w:t>
      </w:r>
      <w:r>
        <w:t>的投标人为中标候选人的，评标委员会应当对其报价的合理性予以特别说明。</w:t>
      </w:r>
    </w:p>
    <w:p w14:paraId="5CBB85DD">
      <w:pPr>
        <w:pStyle w:val="12"/>
        <w:ind w:firstLine="480"/>
        <w:rPr>
          <w:rFonts w:hint="default"/>
        </w:rPr>
      </w:pPr>
      <w:r>
        <w:t>评标委员会成员应当在评标报告中签字确认，对评标过程和结果有不同意见的，应当在评标报告中写明并说明理由。签字但未写明不同意见或者未说明理由的，视同无意见。拒不签字又未另行说明其不同意见和理由的，视同同意评标结果。</w:t>
      </w:r>
    </w:p>
    <w:p w14:paraId="4206EC8D">
      <w:pPr>
        <w:pStyle w:val="12"/>
        <w:ind w:firstLine="480"/>
        <w:rPr>
          <w:rFonts w:hint="default"/>
        </w:rPr>
      </w:pPr>
    </w:p>
    <w:p w14:paraId="052D4926">
      <w:pPr>
        <w:pStyle w:val="12"/>
        <w:outlineLvl w:val="3"/>
        <w:rPr>
          <w:rFonts w:hint="default"/>
        </w:rPr>
      </w:pPr>
      <w:r>
        <w:rPr>
          <w:b/>
          <w:sz w:val="24"/>
        </w:rPr>
        <w:t>5.3.10评标争议处理规则</w:t>
      </w:r>
    </w:p>
    <w:p w14:paraId="49EDB0B3">
      <w:pPr>
        <w:pStyle w:val="12"/>
        <w:ind w:firstLine="480"/>
        <w:rPr>
          <w:rFonts w:hint="default"/>
        </w:rPr>
      </w:pPr>
      <w:r>
        <w:t>评标委员会在评标过程中，对于符合性审查、对投标人文件作无效投标处理及其他需要共同认定的事项存在争议的，应当以少数服从多数的原则作出结论，但不得违反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w:t>
      </w:r>
      <w:r>
        <w:rPr>
          <w:lang w:eastAsia="zh-CN"/>
        </w:rPr>
        <w:t>采购人</w:t>
      </w:r>
      <w:r>
        <w:t>书面反映。</w:t>
      </w:r>
      <w:r>
        <w:rPr>
          <w:lang w:eastAsia="zh-CN"/>
        </w:rPr>
        <w:t>采购人</w:t>
      </w:r>
      <w:r>
        <w:t>收到书面反映后，应当书面报告采购项目</w:t>
      </w:r>
      <w:r>
        <w:rPr>
          <w:lang w:eastAsia="zh-CN"/>
        </w:rPr>
        <w:t>管理</w:t>
      </w:r>
      <w:r>
        <w:t>部门依法处理。</w:t>
      </w:r>
    </w:p>
    <w:p w14:paraId="7A7E5264">
      <w:pPr>
        <w:pStyle w:val="12"/>
        <w:ind w:firstLine="480"/>
        <w:rPr>
          <w:rFonts w:hint="default"/>
          <w:b/>
          <w:sz w:val="28"/>
        </w:rPr>
      </w:pPr>
    </w:p>
    <w:p w14:paraId="56E17344">
      <w:pPr>
        <w:pStyle w:val="12"/>
        <w:ind w:firstLine="480"/>
        <w:rPr>
          <w:rFonts w:hint="default"/>
          <w:b/>
          <w:sz w:val="28"/>
        </w:rPr>
      </w:pPr>
      <w:r>
        <w:rPr>
          <w:b/>
          <w:sz w:val="28"/>
        </w:rPr>
        <w:t>5.4.评标方法、细则及标准</w:t>
      </w:r>
    </w:p>
    <w:p w14:paraId="50672507">
      <w:pPr>
        <w:pStyle w:val="12"/>
        <w:ind w:firstLine="480"/>
        <w:rPr>
          <w:rFonts w:hint="default"/>
          <w:b/>
          <w:sz w:val="28"/>
        </w:rPr>
      </w:pPr>
    </w:p>
    <w:p w14:paraId="4D246015">
      <w:pPr>
        <w:pStyle w:val="12"/>
        <w:outlineLvl w:val="3"/>
        <w:rPr>
          <w:rFonts w:hint="default"/>
        </w:rPr>
      </w:pPr>
      <w:r>
        <w:rPr>
          <w:b/>
          <w:sz w:val="24"/>
        </w:rPr>
        <w:t>5.4.1.评标方法</w:t>
      </w:r>
    </w:p>
    <w:p w14:paraId="435D80BF">
      <w:pPr>
        <w:pStyle w:val="12"/>
        <w:ind w:firstLine="480"/>
        <w:rPr>
          <w:rFonts w:hint="default"/>
        </w:rPr>
      </w:pPr>
      <w:r>
        <w:t>（一）若采用综合评分法的，由评标委员会各成员对通过资格审查和符合性审查的投标人的投标文件进行独立评标。</w:t>
      </w:r>
    </w:p>
    <w:p w14:paraId="51750432">
      <w:pPr>
        <w:pStyle w:val="12"/>
        <w:ind w:firstLine="480"/>
        <w:rPr>
          <w:rFonts w:hint="default"/>
        </w:rPr>
      </w:pPr>
      <w:r>
        <w:t>说明：</w:t>
      </w:r>
    </w:p>
    <w:p w14:paraId="43A20A20">
      <w:pPr>
        <w:pStyle w:val="12"/>
        <w:ind w:firstLine="480"/>
        <w:rPr>
          <w:rFonts w:hint="default"/>
        </w:rPr>
      </w:pPr>
      <w:r>
        <w:t>1.评分的取值按四舍五入法，保留小数点后两位；</w:t>
      </w:r>
    </w:p>
    <w:p w14:paraId="02D4AC77">
      <w:pPr>
        <w:pStyle w:val="12"/>
        <w:ind w:firstLine="480"/>
        <w:rPr>
          <w:rFonts w:hint="default"/>
        </w:rPr>
      </w:pPr>
      <w:r>
        <w:t>2.评分标准中要求提供的证明材料须清晰可辨。</w:t>
      </w:r>
    </w:p>
    <w:p w14:paraId="277A17BF">
      <w:pPr>
        <w:pStyle w:val="12"/>
        <w:ind w:firstLine="480"/>
        <w:rPr>
          <w:rFonts w:hint="default"/>
        </w:rPr>
      </w:pPr>
      <w:r>
        <w:t>因落实政府采购政策进行价格调整的，以调整后的价格计算评标基准价和投标报价。</w:t>
      </w:r>
    </w:p>
    <w:p w14:paraId="5ED5DF3D">
      <w:pPr>
        <w:pStyle w:val="12"/>
        <w:numPr>
          <w:ilvl w:val="0"/>
          <w:numId w:val="2"/>
        </w:numPr>
        <w:ind w:firstLine="480"/>
        <w:rPr>
          <w:rFonts w:hint="default"/>
        </w:rPr>
      </w:pPr>
      <w:r>
        <w:t>若采用最</w:t>
      </w:r>
      <w:r>
        <w:rPr>
          <w:lang w:eastAsia="zh-CN"/>
        </w:rPr>
        <w:t>高</w:t>
      </w:r>
      <w:r>
        <w:t>评标价法的，投标文件满足招标文件全部实质性要求，且投标报价最</w:t>
      </w:r>
      <w:r>
        <w:rPr>
          <w:lang w:eastAsia="zh-CN"/>
        </w:rPr>
        <w:t>高</w:t>
      </w:r>
      <w:r>
        <w:t>的投标人为排名第一的中标候选人。除了算术修正和落实政府采购政策需进行的价格扣除外，不能对投标人的投标价格进行任何调整。</w:t>
      </w:r>
    </w:p>
    <w:p w14:paraId="1343BF46">
      <w:pPr>
        <w:pStyle w:val="12"/>
        <w:spacing w:line="440" w:lineRule="exact"/>
        <w:outlineLvl w:val="3"/>
        <w:rPr>
          <w:rFonts w:hint="default"/>
        </w:rPr>
      </w:pPr>
      <w:r>
        <w:rPr>
          <w:b/>
          <w:sz w:val="24"/>
        </w:rPr>
        <w:t>5.4.2.评标细则及标准</w:t>
      </w:r>
    </w:p>
    <w:tbl>
      <w:tblPr>
        <w:tblStyle w:val="8"/>
        <w:tblW w:w="888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Layout w:type="autofit"/>
        <w:tblCellMar>
          <w:top w:w="0" w:type="dxa"/>
          <w:left w:w="0" w:type="dxa"/>
          <w:bottom w:w="0" w:type="dxa"/>
          <w:right w:w="0" w:type="dxa"/>
        </w:tblCellMar>
      </w:tblPr>
      <w:tblGrid>
        <w:gridCol w:w="1038"/>
        <w:gridCol w:w="6613"/>
        <w:gridCol w:w="637"/>
        <w:gridCol w:w="600"/>
      </w:tblGrid>
      <w:tr w14:paraId="1AD4EF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hemeFill="background1"/>
        </w:tblPrEx>
        <w:tc>
          <w:tcPr>
            <w:tcW w:w="103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B666D3E">
            <w:pPr>
              <w:keepNext w:val="0"/>
              <w:keepLines w:val="0"/>
              <w:pageBreakBefore w:val="0"/>
              <w:widowControl w:val="0"/>
              <w:kinsoku/>
              <w:wordWrap/>
              <w:overflowPunct/>
              <w:topLinePunct w:val="0"/>
              <w:autoSpaceDE/>
              <w:autoSpaceDN/>
              <w:bidi w:val="0"/>
              <w:adjustRightInd/>
              <w:spacing w:line="300" w:lineRule="exact"/>
              <w:jc w:val="center"/>
              <w:textAlignment w:val="auto"/>
              <w:rPr>
                <w:kern w:val="0"/>
                <w:sz w:val="20"/>
                <w:szCs w:val="20"/>
                <w:lang w:eastAsia="zh-Hans"/>
              </w:rPr>
            </w:pPr>
            <w:r>
              <w:rPr>
                <w:kern w:val="0"/>
                <w:sz w:val="20"/>
                <w:szCs w:val="20"/>
              </w:rPr>
              <w:t>项  目</w:t>
            </w:r>
          </w:p>
        </w:tc>
        <w:tc>
          <w:tcPr>
            <w:tcW w:w="6613" w:type="dxa"/>
            <w:tcBorders>
              <w:top w:val="single" w:color="000000" w:sz="8" w:space="0"/>
              <w:left w:val="nil"/>
              <w:bottom w:val="single" w:color="000000" w:sz="8" w:space="0"/>
              <w:right w:val="single" w:color="000000" w:sz="8" w:space="0"/>
            </w:tcBorders>
            <w:shd w:val="clear" w:color="auto" w:fill="FFFFFF" w:themeFill="background1"/>
            <w:vAlign w:val="center"/>
          </w:tcPr>
          <w:p w14:paraId="42BFCFC3">
            <w:pPr>
              <w:keepNext w:val="0"/>
              <w:keepLines w:val="0"/>
              <w:pageBreakBefore w:val="0"/>
              <w:widowControl w:val="0"/>
              <w:kinsoku/>
              <w:wordWrap/>
              <w:overflowPunct/>
              <w:topLinePunct w:val="0"/>
              <w:autoSpaceDE/>
              <w:autoSpaceDN/>
              <w:bidi w:val="0"/>
              <w:adjustRightInd/>
              <w:spacing w:line="300" w:lineRule="exact"/>
              <w:jc w:val="center"/>
              <w:textAlignment w:val="auto"/>
              <w:rPr>
                <w:kern w:val="0"/>
                <w:sz w:val="20"/>
                <w:szCs w:val="20"/>
                <w:lang w:eastAsia="zh-Hans"/>
              </w:rPr>
            </w:pPr>
            <w:r>
              <w:rPr>
                <w:kern w:val="0"/>
                <w:sz w:val="20"/>
                <w:szCs w:val="20"/>
              </w:rPr>
              <w:t>评 分 标 准</w:t>
            </w:r>
          </w:p>
        </w:tc>
        <w:tc>
          <w:tcPr>
            <w:tcW w:w="637" w:type="dxa"/>
            <w:tcBorders>
              <w:top w:val="single" w:color="000000" w:sz="8" w:space="0"/>
              <w:left w:val="nil"/>
              <w:bottom w:val="single" w:color="000000" w:sz="8" w:space="0"/>
              <w:right w:val="single" w:color="000000" w:sz="8" w:space="0"/>
            </w:tcBorders>
            <w:shd w:val="clear" w:color="auto" w:fill="FFFFFF" w:themeFill="background1"/>
            <w:vAlign w:val="center"/>
          </w:tcPr>
          <w:p w14:paraId="36D814FF">
            <w:pPr>
              <w:keepNext w:val="0"/>
              <w:keepLines w:val="0"/>
              <w:pageBreakBefore w:val="0"/>
              <w:widowControl w:val="0"/>
              <w:kinsoku/>
              <w:wordWrap/>
              <w:overflowPunct/>
              <w:topLinePunct w:val="0"/>
              <w:autoSpaceDE/>
              <w:autoSpaceDN/>
              <w:bidi w:val="0"/>
              <w:adjustRightInd/>
              <w:spacing w:line="300" w:lineRule="exact"/>
              <w:jc w:val="center"/>
              <w:textAlignment w:val="auto"/>
              <w:rPr>
                <w:kern w:val="0"/>
                <w:sz w:val="20"/>
                <w:szCs w:val="20"/>
                <w:lang w:eastAsia="zh-Hans"/>
              </w:rPr>
            </w:pPr>
            <w:r>
              <w:rPr>
                <w:kern w:val="0"/>
                <w:sz w:val="20"/>
                <w:szCs w:val="20"/>
              </w:rPr>
              <w:t>分值</w:t>
            </w:r>
          </w:p>
        </w:tc>
        <w:tc>
          <w:tcPr>
            <w:tcW w:w="600" w:type="dxa"/>
            <w:tcBorders>
              <w:top w:val="single" w:color="000000" w:sz="8" w:space="0"/>
              <w:left w:val="nil"/>
              <w:bottom w:val="single" w:color="000000" w:sz="8" w:space="0"/>
              <w:right w:val="single" w:color="000000" w:sz="8" w:space="0"/>
            </w:tcBorders>
            <w:shd w:val="clear" w:color="auto" w:fill="FFFFFF" w:themeFill="background1"/>
            <w:vAlign w:val="center"/>
          </w:tcPr>
          <w:p w14:paraId="254ED3EB">
            <w:pPr>
              <w:keepNext w:val="0"/>
              <w:keepLines w:val="0"/>
              <w:pageBreakBefore w:val="0"/>
              <w:widowControl w:val="0"/>
              <w:kinsoku/>
              <w:wordWrap/>
              <w:overflowPunct/>
              <w:topLinePunct w:val="0"/>
              <w:autoSpaceDE/>
              <w:autoSpaceDN/>
              <w:bidi w:val="0"/>
              <w:adjustRightInd/>
              <w:spacing w:line="300" w:lineRule="exact"/>
              <w:jc w:val="center"/>
              <w:textAlignment w:val="auto"/>
              <w:rPr>
                <w:kern w:val="0"/>
                <w:sz w:val="20"/>
                <w:szCs w:val="20"/>
                <w:lang w:eastAsia="zh-Hans"/>
              </w:rPr>
            </w:pPr>
            <w:r>
              <w:rPr>
                <w:kern w:val="0"/>
                <w:sz w:val="20"/>
                <w:szCs w:val="20"/>
              </w:rPr>
              <w:t>小计</w:t>
            </w:r>
          </w:p>
        </w:tc>
      </w:tr>
      <w:tr w14:paraId="07ADDD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38" w:type="dxa"/>
            <w:tcBorders>
              <w:top w:val="nil"/>
              <w:left w:val="single" w:color="000000" w:sz="8" w:space="0"/>
              <w:bottom w:val="single" w:color="000000" w:sz="8" w:space="0"/>
              <w:right w:val="single" w:color="000000" w:sz="8" w:space="0"/>
            </w:tcBorders>
            <w:shd w:val="clear" w:color="auto" w:fill="FFFFFF" w:themeFill="background1"/>
            <w:vAlign w:val="center"/>
          </w:tcPr>
          <w:p w14:paraId="1A2DE97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rFonts w:hint="eastAsia"/>
                <w:kern w:val="0"/>
                <w:sz w:val="20"/>
                <w:szCs w:val="20"/>
              </w:rPr>
              <w:t>投</w:t>
            </w:r>
            <w:r>
              <w:rPr>
                <w:kern w:val="0"/>
                <w:sz w:val="20"/>
                <w:szCs w:val="20"/>
              </w:rPr>
              <w:t>标报价</w:t>
            </w:r>
          </w:p>
        </w:tc>
        <w:tc>
          <w:tcPr>
            <w:tcW w:w="6613" w:type="dxa"/>
            <w:tcBorders>
              <w:top w:val="nil"/>
              <w:left w:val="nil"/>
              <w:bottom w:val="single" w:color="000000" w:sz="8" w:space="0"/>
              <w:right w:val="single" w:color="000000" w:sz="8" w:space="0"/>
            </w:tcBorders>
            <w:shd w:val="clear" w:color="auto" w:fill="FFFFFF" w:themeFill="background1"/>
            <w:vAlign w:val="center"/>
          </w:tcPr>
          <w:p w14:paraId="498FD11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eastAsiaTheme="minorEastAsia"/>
                <w:lang w:val="en-US" w:eastAsia="zh-CN"/>
              </w:rPr>
            </w:pPr>
            <w:r>
              <w:rPr>
                <w:kern w:val="0"/>
                <w:sz w:val="20"/>
                <w:szCs w:val="20"/>
              </w:rPr>
              <w:t>投标人</w:t>
            </w:r>
            <w:r>
              <w:rPr>
                <w:rFonts w:hint="eastAsia"/>
                <w:kern w:val="0"/>
                <w:sz w:val="20"/>
                <w:szCs w:val="20"/>
              </w:rPr>
              <w:t>对食堂外包服务管理费进行报价作为投标报价</w:t>
            </w:r>
            <w:r>
              <w:rPr>
                <w:kern w:val="0"/>
                <w:sz w:val="20"/>
                <w:szCs w:val="20"/>
              </w:rPr>
              <w:t>。</w:t>
            </w:r>
            <w:r>
              <w:rPr>
                <w:rFonts w:hint="eastAsia"/>
                <w:kern w:val="0"/>
                <w:sz w:val="20"/>
                <w:szCs w:val="20"/>
              </w:rPr>
              <w:t>评分</w:t>
            </w:r>
            <w:r>
              <w:rPr>
                <w:kern w:val="0"/>
                <w:sz w:val="20"/>
                <w:szCs w:val="20"/>
              </w:rPr>
              <w:t>计算方法：以本次最高有效投标报价为</w:t>
            </w:r>
            <w:r>
              <w:rPr>
                <w:rFonts w:hint="eastAsia"/>
                <w:kern w:val="0"/>
                <w:sz w:val="20"/>
                <w:szCs w:val="20"/>
              </w:rPr>
              <w:t>评标</w:t>
            </w:r>
            <w:r>
              <w:rPr>
                <w:kern w:val="0"/>
                <w:sz w:val="20"/>
                <w:szCs w:val="20"/>
              </w:rPr>
              <w:t>基准价，其报价得分为满分，其他投标人的价格分统一按照下列公式计算：投标报价得分=(投标报价／评标基准价)×30</w:t>
            </w:r>
          </w:p>
        </w:tc>
        <w:tc>
          <w:tcPr>
            <w:tcW w:w="637" w:type="dxa"/>
            <w:tcBorders>
              <w:top w:val="nil"/>
              <w:left w:val="nil"/>
              <w:bottom w:val="single" w:color="000000" w:sz="8" w:space="0"/>
              <w:right w:val="single" w:color="000000" w:sz="8" w:space="0"/>
            </w:tcBorders>
            <w:shd w:val="clear" w:color="auto" w:fill="FFFFFF" w:themeFill="background1"/>
            <w:vAlign w:val="center"/>
          </w:tcPr>
          <w:p w14:paraId="467A9DE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kern w:val="0"/>
                <w:sz w:val="20"/>
                <w:szCs w:val="20"/>
              </w:rPr>
              <w:t>30</w:t>
            </w:r>
          </w:p>
        </w:tc>
        <w:tc>
          <w:tcPr>
            <w:tcW w:w="600" w:type="dxa"/>
            <w:tcBorders>
              <w:top w:val="nil"/>
              <w:left w:val="nil"/>
              <w:bottom w:val="single" w:color="000000" w:sz="8" w:space="0"/>
              <w:right w:val="single" w:color="000000" w:sz="8" w:space="0"/>
            </w:tcBorders>
            <w:shd w:val="clear" w:color="auto" w:fill="FFFFFF" w:themeFill="background1"/>
            <w:vAlign w:val="center"/>
          </w:tcPr>
          <w:p w14:paraId="2FD29BD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r>
      <w:tr w14:paraId="177A68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38" w:type="dxa"/>
            <w:tcBorders>
              <w:top w:val="nil"/>
              <w:left w:val="single" w:color="000000" w:sz="8" w:space="0"/>
              <w:bottom w:val="single" w:color="000000" w:sz="8" w:space="0"/>
              <w:right w:val="single" w:color="000000" w:sz="8" w:space="0"/>
            </w:tcBorders>
            <w:shd w:val="clear" w:color="auto" w:fill="FFFFFF" w:themeFill="background1"/>
            <w:vAlign w:val="center"/>
          </w:tcPr>
          <w:p w14:paraId="59F3381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kern w:val="0"/>
                <w:sz w:val="20"/>
                <w:szCs w:val="20"/>
              </w:rPr>
              <w:t>制度职责</w:t>
            </w:r>
          </w:p>
        </w:tc>
        <w:tc>
          <w:tcPr>
            <w:tcW w:w="6613" w:type="dxa"/>
            <w:tcBorders>
              <w:top w:val="nil"/>
              <w:left w:val="nil"/>
              <w:bottom w:val="single" w:color="000000" w:sz="8" w:space="0"/>
              <w:right w:val="single" w:color="000000" w:sz="8" w:space="0"/>
            </w:tcBorders>
            <w:shd w:val="clear" w:color="auto" w:fill="FFFFFF" w:themeFill="background1"/>
            <w:vAlign w:val="center"/>
          </w:tcPr>
          <w:p w14:paraId="19EE02CF">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kern w:val="0"/>
                <w:sz w:val="20"/>
                <w:szCs w:val="20"/>
                <w:lang w:eastAsia="zh-Hans"/>
              </w:rPr>
            </w:pPr>
            <w:r>
              <w:rPr>
                <w:kern w:val="0"/>
                <w:sz w:val="20"/>
                <w:szCs w:val="20"/>
              </w:rPr>
              <w:t>食堂各项制度</w:t>
            </w:r>
            <w:r>
              <w:rPr>
                <w:rFonts w:hint="eastAsia"/>
                <w:kern w:val="0"/>
                <w:sz w:val="20"/>
                <w:szCs w:val="20"/>
              </w:rPr>
              <w:t>职责：食品</w:t>
            </w:r>
            <w:r>
              <w:rPr>
                <w:kern w:val="0"/>
                <w:sz w:val="20"/>
                <w:szCs w:val="20"/>
              </w:rPr>
              <w:t>安全管理制度、</w:t>
            </w:r>
            <w:r>
              <w:rPr>
                <w:rFonts w:hint="eastAsia"/>
                <w:kern w:val="0"/>
                <w:sz w:val="20"/>
                <w:szCs w:val="20"/>
              </w:rPr>
              <w:t>原材料采购及管理制度、营养健康管理制度、</w:t>
            </w:r>
            <w:r>
              <w:rPr>
                <w:kern w:val="0"/>
                <w:sz w:val="20"/>
                <w:szCs w:val="20"/>
              </w:rPr>
              <w:t>环境卫生</w:t>
            </w:r>
            <w:r>
              <w:rPr>
                <w:rFonts w:hint="eastAsia"/>
                <w:kern w:val="0"/>
                <w:sz w:val="20"/>
                <w:szCs w:val="20"/>
              </w:rPr>
              <w:t>管理</w:t>
            </w:r>
            <w:r>
              <w:rPr>
                <w:kern w:val="0"/>
                <w:sz w:val="20"/>
                <w:szCs w:val="20"/>
              </w:rPr>
              <w:t>制度、</w:t>
            </w:r>
            <w:r>
              <w:rPr>
                <w:rFonts w:hint="eastAsia"/>
                <w:kern w:val="0"/>
                <w:sz w:val="20"/>
                <w:szCs w:val="20"/>
              </w:rPr>
              <w:t>人员职责及</w:t>
            </w:r>
            <w:r>
              <w:rPr>
                <w:kern w:val="0"/>
                <w:sz w:val="20"/>
                <w:szCs w:val="20"/>
              </w:rPr>
              <w:t>培训</w:t>
            </w:r>
            <w:r>
              <w:rPr>
                <w:rFonts w:hint="eastAsia"/>
                <w:kern w:val="0"/>
                <w:sz w:val="20"/>
                <w:szCs w:val="20"/>
              </w:rPr>
              <w:t>与考核</w:t>
            </w:r>
            <w:r>
              <w:rPr>
                <w:kern w:val="0"/>
                <w:sz w:val="20"/>
                <w:szCs w:val="20"/>
              </w:rPr>
              <w:t>制度</w:t>
            </w:r>
            <w:r>
              <w:rPr>
                <w:rFonts w:hint="eastAsia"/>
                <w:kern w:val="0"/>
                <w:sz w:val="20"/>
                <w:szCs w:val="20"/>
              </w:rPr>
              <w:t>（食堂负责人、营养指导人员、厨师、服务员等</w:t>
            </w:r>
            <w:r>
              <w:rPr>
                <w:kern w:val="0"/>
                <w:sz w:val="20"/>
                <w:szCs w:val="20"/>
              </w:rPr>
              <w:t>）。评委根据投标人提供的制度</w:t>
            </w:r>
            <w:r>
              <w:rPr>
                <w:rFonts w:hint="eastAsia"/>
                <w:kern w:val="0"/>
                <w:sz w:val="20"/>
                <w:szCs w:val="20"/>
              </w:rPr>
              <w:t>、</w:t>
            </w:r>
            <w:r>
              <w:rPr>
                <w:kern w:val="0"/>
                <w:sz w:val="20"/>
                <w:szCs w:val="20"/>
              </w:rPr>
              <w:t>职责及可行性综合打分，每项0-2分。</w:t>
            </w:r>
          </w:p>
        </w:tc>
        <w:tc>
          <w:tcPr>
            <w:tcW w:w="637" w:type="dxa"/>
            <w:tcBorders>
              <w:top w:val="nil"/>
              <w:left w:val="nil"/>
              <w:bottom w:val="single" w:color="000000" w:sz="8" w:space="0"/>
              <w:right w:val="single" w:color="000000" w:sz="8" w:space="0"/>
            </w:tcBorders>
            <w:shd w:val="clear" w:color="auto" w:fill="FFFFFF" w:themeFill="background1"/>
            <w:vAlign w:val="center"/>
          </w:tcPr>
          <w:p w14:paraId="4DFEF97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kern w:val="0"/>
                <w:sz w:val="20"/>
                <w:szCs w:val="20"/>
              </w:rPr>
              <w:t>10</w:t>
            </w:r>
          </w:p>
        </w:tc>
        <w:tc>
          <w:tcPr>
            <w:tcW w:w="600" w:type="dxa"/>
            <w:tcBorders>
              <w:top w:val="nil"/>
              <w:left w:val="nil"/>
              <w:bottom w:val="single" w:color="000000" w:sz="8" w:space="0"/>
              <w:right w:val="single" w:color="000000" w:sz="8" w:space="0"/>
            </w:tcBorders>
            <w:shd w:val="clear" w:color="auto" w:fill="FFFFFF" w:themeFill="background1"/>
            <w:vAlign w:val="center"/>
          </w:tcPr>
          <w:p w14:paraId="377CF15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r>
      <w:tr w14:paraId="78AE18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38" w:type="dxa"/>
            <w:tcBorders>
              <w:top w:val="nil"/>
              <w:left w:val="single" w:color="000000" w:sz="8" w:space="0"/>
              <w:bottom w:val="single" w:color="auto" w:sz="4" w:space="0"/>
              <w:right w:val="single" w:color="000000" w:sz="8" w:space="0"/>
            </w:tcBorders>
            <w:shd w:val="clear" w:color="auto" w:fill="FFFFFF" w:themeFill="background1"/>
            <w:vAlign w:val="center"/>
          </w:tcPr>
          <w:p w14:paraId="1B5738E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kern w:val="0"/>
                <w:sz w:val="20"/>
                <w:szCs w:val="20"/>
              </w:rPr>
              <w:t>服务承诺</w:t>
            </w:r>
          </w:p>
        </w:tc>
        <w:tc>
          <w:tcPr>
            <w:tcW w:w="6613" w:type="dxa"/>
            <w:tcBorders>
              <w:top w:val="nil"/>
              <w:left w:val="nil"/>
              <w:bottom w:val="single" w:color="auto" w:sz="4" w:space="0"/>
              <w:right w:val="single" w:color="000000" w:sz="8" w:space="0"/>
            </w:tcBorders>
            <w:shd w:val="clear" w:color="auto" w:fill="FFFFFF" w:themeFill="background1"/>
            <w:vAlign w:val="center"/>
          </w:tcPr>
          <w:p w14:paraId="3E70506B">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kern w:val="0"/>
                <w:sz w:val="20"/>
                <w:szCs w:val="20"/>
              </w:rPr>
            </w:pPr>
            <w:r>
              <w:rPr>
                <w:rFonts w:hint="eastAsia"/>
                <w:kern w:val="0"/>
                <w:sz w:val="20"/>
                <w:szCs w:val="20"/>
              </w:rPr>
              <w:t>包括食品</w:t>
            </w:r>
            <w:r>
              <w:rPr>
                <w:kern w:val="0"/>
                <w:sz w:val="20"/>
                <w:szCs w:val="20"/>
              </w:rPr>
              <w:t>质量、</w:t>
            </w:r>
            <w:r>
              <w:rPr>
                <w:rFonts w:hint="eastAsia"/>
                <w:kern w:val="0"/>
                <w:sz w:val="20"/>
                <w:szCs w:val="20"/>
              </w:rPr>
              <w:t>食品</w:t>
            </w:r>
            <w:r>
              <w:rPr>
                <w:kern w:val="0"/>
                <w:sz w:val="20"/>
                <w:szCs w:val="20"/>
              </w:rPr>
              <w:t>价格、</w:t>
            </w:r>
            <w:r>
              <w:rPr>
                <w:rFonts w:hint="eastAsia"/>
                <w:kern w:val="0"/>
                <w:sz w:val="20"/>
                <w:szCs w:val="20"/>
              </w:rPr>
              <w:t>环境卫生、</w:t>
            </w:r>
            <w:r>
              <w:rPr>
                <w:kern w:val="0"/>
                <w:sz w:val="20"/>
                <w:szCs w:val="20"/>
              </w:rPr>
              <w:t>食堂安全</w:t>
            </w:r>
            <w:r>
              <w:rPr>
                <w:rFonts w:hint="eastAsia"/>
                <w:kern w:val="0"/>
                <w:sz w:val="20"/>
                <w:szCs w:val="20"/>
              </w:rPr>
              <w:t>、</w:t>
            </w:r>
            <w:r>
              <w:rPr>
                <w:kern w:val="0"/>
                <w:sz w:val="20"/>
                <w:szCs w:val="20"/>
              </w:rPr>
              <w:t>服务态度等。评委根据投标人提供的服务承诺及可行性综合打分，每项0-2分。</w:t>
            </w:r>
          </w:p>
        </w:tc>
        <w:tc>
          <w:tcPr>
            <w:tcW w:w="637" w:type="dxa"/>
            <w:tcBorders>
              <w:top w:val="nil"/>
              <w:left w:val="nil"/>
              <w:bottom w:val="single" w:color="auto" w:sz="4" w:space="0"/>
              <w:right w:val="single" w:color="000000" w:sz="8" w:space="0"/>
            </w:tcBorders>
            <w:shd w:val="clear" w:color="auto" w:fill="FFFFFF" w:themeFill="background1"/>
            <w:vAlign w:val="center"/>
          </w:tcPr>
          <w:p w14:paraId="3405295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kern w:val="0"/>
                <w:sz w:val="20"/>
                <w:szCs w:val="20"/>
              </w:rPr>
              <w:t>10</w:t>
            </w:r>
          </w:p>
        </w:tc>
        <w:tc>
          <w:tcPr>
            <w:tcW w:w="600" w:type="dxa"/>
            <w:tcBorders>
              <w:top w:val="nil"/>
              <w:left w:val="nil"/>
              <w:bottom w:val="single" w:color="auto" w:sz="4" w:space="0"/>
              <w:right w:val="single" w:color="000000" w:sz="8" w:space="0"/>
            </w:tcBorders>
            <w:shd w:val="clear" w:color="auto" w:fill="FFFFFF" w:themeFill="background1"/>
            <w:vAlign w:val="center"/>
          </w:tcPr>
          <w:p w14:paraId="7839F36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r>
      <w:tr w14:paraId="0A895A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03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607ED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kern w:val="0"/>
                <w:sz w:val="20"/>
                <w:szCs w:val="20"/>
              </w:rPr>
              <w:t>人员组成</w:t>
            </w:r>
          </w:p>
        </w:tc>
        <w:tc>
          <w:tcPr>
            <w:tcW w:w="66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540385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kern w:val="0"/>
                <w:sz w:val="20"/>
                <w:szCs w:val="20"/>
                <w:lang w:eastAsia="zh-Hans"/>
              </w:rPr>
            </w:pPr>
            <w:r>
              <w:rPr>
                <w:kern w:val="0"/>
                <w:sz w:val="20"/>
                <w:szCs w:val="20"/>
              </w:rPr>
              <w:t>拟派食堂工作人员</w:t>
            </w:r>
            <w:r>
              <w:rPr>
                <w:rFonts w:hint="eastAsia"/>
                <w:kern w:val="0"/>
                <w:sz w:val="20"/>
                <w:szCs w:val="20"/>
              </w:rPr>
              <w:t>12至13</w:t>
            </w:r>
            <w:r>
              <w:rPr>
                <w:kern w:val="0"/>
                <w:sz w:val="20"/>
                <w:szCs w:val="20"/>
              </w:rPr>
              <w:t>人得</w:t>
            </w:r>
            <w:r>
              <w:rPr>
                <w:rFonts w:hint="eastAsia"/>
                <w:kern w:val="0"/>
                <w:sz w:val="20"/>
                <w:szCs w:val="20"/>
              </w:rPr>
              <w:t>2</w:t>
            </w:r>
            <w:r>
              <w:rPr>
                <w:kern w:val="0"/>
                <w:sz w:val="20"/>
                <w:szCs w:val="20"/>
              </w:rPr>
              <w:t>分，</w:t>
            </w:r>
            <w:r>
              <w:rPr>
                <w:rFonts w:hint="eastAsia"/>
                <w:kern w:val="0"/>
                <w:sz w:val="20"/>
                <w:szCs w:val="20"/>
              </w:rPr>
              <w:t>14至15</w:t>
            </w:r>
            <w:r>
              <w:rPr>
                <w:kern w:val="0"/>
                <w:sz w:val="20"/>
                <w:szCs w:val="20"/>
              </w:rPr>
              <w:t>人得</w:t>
            </w:r>
            <w:r>
              <w:rPr>
                <w:rFonts w:hint="eastAsia"/>
                <w:kern w:val="0"/>
                <w:sz w:val="20"/>
                <w:szCs w:val="20"/>
              </w:rPr>
              <w:t>3</w:t>
            </w:r>
            <w:r>
              <w:rPr>
                <w:kern w:val="0"/>
                <w:sz w:val="20"/>
                <w:szCs w:val="20"/>
              </w:rPr>
              <w:t>分，1</w:t>
            </w:r>
            <w:r>
              <w:rPr>
                <w:rFonts w:hint="eastAsia"/>
                <w:kern w:val="0"/>
                <w:sz w:val="20"/>
                <w:szCs w:val="20"/>
              </w:rPr>
              <w:t>6</w:t>
            </w:r>
            <w:r>
              <w:rPr>
                <w:kern w:val="0"/>
                <w:sz w:val="20"/>
                <w:szCs w:val="20"/>
              </w:rPr>
              <w:t>人及以上得</w:t>
            </w:r>
            <w:r>
              <w:rPr>
                <w:rFonts w:hint="eastAsia"/>
                <w:kern w:val="0"/>
                <w:sz w:val="20"/>
                <w:szCs w:val="20"/>
              </w:rPr>
              <w:t>4</w:t>
            </w:r>
            <w:r>
              <w:rPr>
                <w:kern w:val="0"/>
                <w:sz w:val="20"/>
                <w:szCs w:val="20"/>
              </w:rPr>
              <w:t>分（附工作人员详细</w:t>
            </w:r>
            <w:r>
              <w:rPr>
                <w:rFonts w:hint="eastAsia"/>
                <w:kern w:val="0"/>
                <w:sz w:val="20"/>
                <w:szCs w:val="20"/>
              </w:rPr>
              <w:t>分工</w:t>
            </w:r>
            <w:r>
              <w:rPr>
                <w:kern w:val="0"/>
                <w:sz w:val="20"/>
                <w:szCs w:val="20"/>
              </w:rPr>
              <w:t>）</w:t>
            </w:r>
            <w:r>
              <w:rPr>
                <w:rFonts w:hint="eastAsia"/>
                <w:kern w:val="0"/>
                <w:sz w:val="20"/>
                <w:szCs w:val="20"/>
              </w:rPr>
              <w:t>，</w:t>
            </w:r>
          </w:p>
          <w:p w14:paraId="1E102EF4">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kern w:val="0"/>
                <w:sz w:val="20"/>
                <w:szCs w:val="20"/>
              </w:rPr>
            </w:pPr>
            <w:r>
              <w:rPr>
                <w:kern w:val="0"/>
                <w:sz w:val="20"/>
                <w:szCs w:val="20"/>
              </w:rPr>
              <w:t>食堂工作人员中有三级</w:t>
            </w:r>
            <w:r>
              <w:rPr>
                <w:rFonts w:hint="eastAsia"/>
                <w:kern w:val="0"/>
                <w:sz w:val="20"/>
                <w:szCs w:val="20"/>
              </w:rPr>
              <w:t>及</w:t>
            </w:r>
            <w:r>
              <w:rPr>
                <w:kern w:val="0"/>
                <w:sz w:val="20"/>
                <w:szCs w:val="20"/>
              </w:rPr>
              <w:t>以上厨师证1个得</w:t>
            </w:r>
            <w:r>
              <w:rPr>
                <w:rFonts w:hint="eastAsia"/>
                <w:kern w:val="0"/>
                <w:sz w:val="20"/>
                <w:szCs w:val="20"/>
              </w:rPr>
              <w:t>2</w:t>
            </w:r>
            <w:r>
              <w:rPr>
                <w:kern w:val="0"/>
                <w:sz w:val="20"/>
                <w:szCs w:val="20"/>
              </w:rPr>
              <w:t>分，2个得</w:t>
            </w:r>
            <w:r>
              <w:rPr>
                <w:rFonts w:hint="eastAsia"/>
                <w:kern w:val="0"/>
                <w:sz w:val="20"/>
                <w:szCs w:val="20"/>
              </w:rPr>
              <w:t>3</w:t>
            </w:r>
            <w:r>
              <w:rPr>
                <w:kern w:val="0"/>
                <w:sz w:val="20"/>
                <w:szCs w:val="20"/>
              </w:rPr>
              <w:t>分，3个及以上得</w:t>
            </w:r>
            <w:r>
              <w:rPr>
                <w:rFonts w:hint="eastAsia"/>
                <w:kern w:val="0"/>
                <w:sz w:val="20"/>
                <w:szCs w:val="20"/>
              </w:rPr>
              <w:t>4</w:t>
            </w:r>
            <w:r>
              <w:rPr>
                <w:kern w:val="0"/>
                <w:sz w:val="20"/>
                <w:szCs w:val="20"/>
              </w:rPr>
              <w:t>分（附工作人员详细</w:t>
            </w:r>
            <w:r>
              <w:rPr>
                <w:rFonts w:hint="eastAsia"/>
                <w:kern w:val="0"/>
                <w:sz w:val="20"/>
                <w:szCs w:val="20"/>
              </w:rPr>
              <w:t>身份及厨师证明材料</w:t>
            </w:r>
            <w:r>
              <w:rPr>
                <w:kern w:val="0"/>
                <w:sz w:val="20"/>
                <w:szCs w:val="20"/>
              </w:rPr>
              <w:t>）；</w:t>
            </w:r>
          </w:p>
          <w:p w14:paraId="73BF7C65">
            <w:pPr>
              <w:keepNext w:val="0"/>
              <w:keepLines w:val="0"/>
              <w:pageBreakBefore w:val="0"/>
              <w:widowControl w:val="0"/>
              <w:kinsoku/>
              <w:wordWrap/>
              <w:overflowPunct/>
              <w:topLinePunct w:val="0"/>
              <w:autoSpaceDE/>
              <w:autoSpaceDN/>
              <w:bidi w:val="0"/>
              <w:adjustRightInd/>
              <w:snapToGrid w:val="0"/>
              <w:spacing w:before="22" w:line="300" w:lineRule="exact"/>
              <w:ind w:left="128"/>
              <w:textAlignment w:val="auto"/>
              <w:rPr>
                <w:kern w:val="0"/>
                <w:sz w:val="20"/>
                <w:szCs w:val="20"/>
                <w:lang w:eastAsia="zh-Hans"/>
              </w:rPr>
            </w:pPr>
            <w:r>
              <w:rPr>
                <w:kern w:val="0"/>
                <w:sz w:val="20"/>
                <w:szCs w:val="20"/>
              </w:rPr>
              <w:t>食堂工作人员中</w:t>
            </w:r>
            <w:r>
              <w:rPr>
                <w:rFonts w:hint="eastAsia"/>
                <w:kern w:val="0"/>
                <w:sz w:val="20"/>
                <w:szCs w:val="20"/>
              </w:rPr>
              <w:t>有</w:t>
            </w:r>
            <w:r>
              <w:rPr>
                <w:kern w:val="0"/>
                <w:sz w:val="20"/>
                <w:szCs w:val="20"/>
              </w:rPr>
              <w:t>1个营养指导人员得</w:t>
            </w:r>
            <w:r>
              <w:rPr>
                <w:rFonts w:hint="eastAsia"/>
                <w:kern w:val="0"/>
                <w:sz w:val="20"/>
                <w:szCs w:val="20"/>
              </w:rPr>
              <w:t>2</w:t>
            </w:r>
            <w:r>
              <w:rPr>
                <w:kern w:val="0"/>
                <w:sz w:val="20"/>
                <w:szCs w:val="20"/>
              </w:rPr>
              <w:t>分</w:t>
            </w:r>
            <w:r>
              <w:rPr>
                <w:rFonts w:hint="eastAsia"/>
                <w:kern w:val="0"/>
                <w:sz w:val="20"/>
                <w:szCs w:val="20"/>
              </w:rPr>
              <w:t>（</w:t>
            </w:r>
            <w:r>
              <w:rPr>
                <w:kern w:val="0"/>
                <w:sz w:val="20"/>
                <w:szCs w:val="20"/>
              </w:rPr>
              <w:t>具有国家认可的公共营养师、或注册营养师、或营养指导员等证书；</w:t>
            </w:r>
            <w:r>
              <w:rPr>
                <w:rFonts w:hint="eastAsia"/>
                <w:kern w:val="0"/>
                <w:sz w:val="20"/>
                <w:szCs w:val="20"/>
              </w:rPr>
              <w:t>或</w:t>
            </w:r>
            <w:r>
              <w:rPr>
                <w:kern w:val="0"/>
                <w:sz w:val="20"/>
                <w:szCs w:val="20"/>
              </w:rPr>
              <w:t>具有营养相关专业背景或工作经验，能够提供营养配餐、供餐与管理等的技术指导和服务。</w:t>
            </w:r>
            <w:r>
              <w:rPr>
                <w:rFonts w:hint="eastAsia"/>
                <w:kern w:val="0"/>
                <w:sz w:val="20"/>
                <w:szCs w:val="20"/>
              </w:rPr>
              <w:t>提供证明材料）</w:t>
            </w:r>
          </w:p>
        </w:tc>
        <w:tc>
          <w:tcPr>
            <w:tcW w:w="63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4FF4E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rFonts w:hint="eastAsia"/>
                <w:kern w:val="0"/>
                <w:sz w:val="20"/>
                <w:szCs w:val="20"/>
              </w:rPr>
              <w:t>10</w:t>
            </w:r>
          </w:p>
        </w:tc>
        <w:tc>
          <w:tcPr>
            <w:tcW w:w="6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C5C95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r>
      <w:tr w14:paraId="436AE1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038" w:type="dxa"/>
            <w:vMerge w:val="restart"/>
            <w:tcBorders>
              <w:top w:val="single" w:color="auto" w:sz="4" w:space="0"/>
              <w:left w:val="single" w:color="000000" w:sz="8" w:space="0"/>
              <w:bottom w:val="single" w:color="000000" w:sz="8" w:space="0"/>
              <w:right w:val="single" w:color="000000" w:sz="8" w:space="0"/>
            </w:tcBorders>
            <w:shd w:val="clear" w:color="auto" w:fill="FFFFFF" w:themeFill="background1"/>
            <w:vAlign w:val="center"/>
          </w:tcPr>
          <w:p w14:paraId="1547385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kern w:val="0"/>
                <w:sz w:val="20"/>
                <w:szCs w:val="20"/>
              </w:rPr>
              <w:t>食堂经营</w:t>
            </w:r>
          </w:p>
          <w:p w14:paraId="5D894FA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kern w:val="0"/>
                <w:sz w:val="20"/>
                <w:szCs w:val="20"/>
              </w:rPr>
              <w:t>管理方案</w:t>
            </w:r>
          </w:p>
        </w:tc>
        <w:tc>
          <w:tcPr>
            <w:tcW w:w="6613" w:type="dxa"/>
            <w:tcBorders>
              <w:top w:val="single" w:color="auto" w:sz="4" w:space="0"/>
              <w:left w:val="nil"/>
              <w:bottom w:val="single" w:color="000000" w:sz="8" w:space="0"/>
              <w:right w:val="single" w:color="000000" w:sz="8" w:space="0"/>
            </w:tcBorders>
            <w:shd w:val="clear" w:color="auto" w:fill="FFFFFF" w:themeFill="background1"/>
            <w:vAlign w:val="center"/>
          </w:tcPr>
          <w:p w14:paraId="231828A0">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kern w:val="0"/>
                <w:sz w:val="20"/>
                <w:szCs w:val="20"/>
                <w:lang w:eastAsia="zh-Hans"/>
              </w:rPr>
            </w:pPr>
            <w:r>
              <w:rPr>
                <w:kern w:val="0"/>
                <w:sz w:val="20"/>
                <w:szCs w:val="20"/>
              </w:rPr>
              <w:t>食堂原材料采购方案，评委根据投标人提供方案及可行性综合评定0-5分</w:t>
            </w:r>
          </w:p>
        </w:tc>
        <w:tc>
          <w:tcPr>
            <w:tcW w:w="637" w:type="dxa"/>
            <w:tcBorders>
              <w:top w:val="single" w:color="auto" w:sz="4" w:space="0"/>
              <w:left w:val="nil"/>
              <w:bottom w:val="single" w:color="000000" w:sz="8" w:space="0"/>
              <w:right w:val="single" w:color="000000" w:sz="8" w:space="0"/>
            </w:tcBorders>
            <w:shd w:val="clear" w:color="auto" w:fill="FFFFFF" w:themeFill="background1"/>
            <w:vAlign w:val="center"/>
          </w:tcPr>
          <w:p w14:paraId="21F3E3A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kern w:val="0"/>
                <w:sz w:val="20"/>
                <w:szCs w:val="20"/>
              </w:rPr>
              <w:t>5</w:t>
            </w:r>
          </w:p>
        </w:tc>
        <w:tc>
          <w:tcPr>
            <w:tcW w:w="600" w:type="dxa"/>
            <w:tcBorders>
              <w:top w:val="single" w:color="auto" w:sz="4" w:space="0"/>
              <w:left w:val="nil"/>
              <w:bottom w:val="single" w:color="000000" w:sz="8" w:space="0"/>
              <w:right w:val="single" w:color="000000" w:sz="8" w:space="0"/>
            </w:tcBorders>
            <w:shd w:val="clear" w:color="auto" w:fill="FFFFFF" w:themeFill="background1"/>
            <w:vAlign w:val="center"/>
          </w:tcPr>
          <w:p w14:paraId="7C7308E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r>
      <w:tr w14:paraId="3CDF76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038" w:type="dxa"/>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89B1E4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c>
          <w:tcPr>
            <w:tcW w:w="6613" w:type="dxa"/>
            <w:tcBorders>
              <w:top w:val="nil"/>
              <w:left w:val="nil"/>
              <w:bottom w:val="single" w:color="000000" w:sz="8" w:space="0"/>
              <w:right w:val="single" w:color="000000" w:sz="8" w:space="0"/>
            </w:tcBorders>
            <w:shd w:val="clear" w:color="auto" w:fill="FFFFFF" w:themeFill="background1"/>
            <w:vAlign w:val="center"/>
          </w:tcPr>
          <w:p w14:paraId="1D8033E0">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kern w:val="0"/>
                <w:sz w:val="20"/>
                <w:szCs w:val="20"/>
              </w:rPr>
            </w:pPr>
            <w:r>
              <w:rPr>
                <w:kern w:val="0"/>
                <w:sz w:val="20"/>
                <w:szCs w:val="20"/>
              </w:rPr>
              <w:t>食堂原材料管理方案，评委根据投标人提供方案及可行性综合评定0-5分</w:t>
            </w:r>
          </w:p>
        </w:tc>
        <w:tc>
          <w:tcPr>
            <w:tcW w:w="637" w:type="dxa"/>
            <w:tcBorders>
              <w:top w:val="nil"/>
              <w:left w:val="nil"/>
              <w:bottom w:val="single" w:color="000000" w:sz="8" w:space="0"/>
              <w:right w:val="single" w:color="000000" w:sz="8" w:space="0"/>
            </w:tcBorders>
            <w:shd w:val="clear" w:color="auto" w:fill="FFFFFF" w:themeFill="background1"/>
            <w:vAlign w:val="center"/>
          </w:tcPr>
          <w:p w14:paraId="1BE0087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rPr>
            </w:pPr>
            <w:r>
              <w:rPr>
                <w:rFonts w:hint="eastAsia"/>
                <w:kern w:val="0"/>
                <w:sz w:val="20"/>
                <w:szCs w:val="20"/>
              </w:rPr>
              <w:t>5</w:t>
            </w:r>
          </w:p>
        </w:tc>
        <w:tc>
          <w:tcPr>
            <w:tcW w:w="600" w:type="dxa"/>
            <w:tcBorders>
              <w:top w:val="nil"/>
              <w:left w:val="nil"/>
              <w:bottom w:val="single" w:color="000000" w:sz="8" w:space="0"/>
              <w:right w:val="single" w:color="000000" w:sz="8" w:space="0"/>
            </w:tcBorders>
            <w:shd w:val="clear" w:color="auto" w:fill="FFFFFF" w:themeFill="background1"/>
            <w:vAlign w:val="center"/>
          </w:tcPr>
          <w:p w14:paraId="64A3A43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r>
      <w:tr w14:paraId="56CDF6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038" w:type="dxa"/>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31E754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c>
          <w:tcPr>
            <w:tcW w:w="6613" w:type="dxa"/>
            <w:tcBorders>
              <w:top w:val="nil"/>
              <w:left w:val="nil"/>
              <w:bottom w:val="single" w:color="000000" w:sz="8" w:space="0"/>
              <w:right w:val="single" w:color="000000" w:sz="8" w:space="0"/>
            </w:tcBorders>
            <w:shd w:val="clear" w:color="auto" w:fill="FFFFFF" w:themeFill="background1"/>
            <w:vAlign w:val="center"/>
          </w:tcPr>
          <w:p w14:paraId="77AC305A">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kern w:val="0"/>
                <w:sz w:val="20"/>
                <w:szCs w:val="20"/>
                <w:lang w:eastAsia="zh-Hans"/>
              </w:rPr>
            </w:pPr>
            <w:r>
              <w:rPr>
                <w:kern w:val="0"/>
                <w:sz w:val="20"/>
                <w:szCs w:val="20"/>
              </w:rPr>
              <w:t>食堂环境卫生管理方案，评委根据投标人提供方案及可行性综合评定0-5分</w:t>
            </w:r>
          </w:p>
        </w:tc>
        <w:tc>
          <w:tcPr>
            <w:tcW w:w="637" w:type="dxa"/>
            <w:tcBorders>
              <w:top w:val="nil"/>
              <w:left w:val="nil"/>
              <w:bottom w:val="single" w:color="000000" w:sz="8" w:space="0"/>
              <w:right w:val="single" w:color="000000" w:sz="8" w:space="0"/>
            </w:tcBorders>
            <w:shd w:val="clear" w:color="auto" w:fill="FFFFFF" w:themeFill="background1"/>
            <w:vAlign w:val="center"/>
          </w:tcPr>
          <w:p w14:paraId="783C33B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kern w:val="0"/>
                <w:sz w:val="20"/>
                <w:szCs w:val="20"/>
              </w:rPr>
              <w:t>5</w:t>
            </w:r>
          </w:p>
        </w:tc>
        <w:tc>
          <w:tcPr>
            <w:tcW w:w="600" w:type="dxa"/>
            <w:tcBorders>
              <w:top w:val="nil"/>
              <w:left w:val="nil"/>
              <w:bottom w:val="single" w:color="000000" w:sz="8" w:space="0"/>
              <w:right w:val="single" w:color="000000" w:sz="8" w:space="0"/>
            </w:tcBorders>
            <w:shd w:val="clear" w:color="auto" w:fill="FFFFFF" w:themeFill="background1"/>
            <w:vAlign w:val="center"/>
          </w:tcPr>
          <w:p w14:paraId="58A1DC9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r>
      <w:tr w14:paraId="408088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038" w:type="dxa"/>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0204578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c>
          <w:tcPr>
            <w:tcW w:w="6613" w:type="dxa"/>
            <w:tcBorders>
              <w:top w:val="nil"/>
              <w:left w:val="nil"/>
              <w:bottom w:val="single" w:color="000000" w:sz="8" w:space="0"/>
              <w:right w:val="single" w:color="000000" w:sz="8" w:space="0"/>
            </w:tcBorders>
            <w:shd w:val="clear" w:color="auto" w:fill="FFFFFF" w:themeFill="background1"/>
            <w:vAlign w:val="center"/>
          </w:tcPr>
          <w:p w14:paraId="7622665C">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kern w:val="0"/>
                <w:sz w:val="20"/>
                <w:szCs w:val="20"/>
                <w:lang w:eastAsia="zh-Hans"/>
              </w:rPr>
            </w:pPr>
            <w:r>
              <w:rPr>
                <w:kern w:val="0"/>
                <w:sz w:val="20"/>
                <w:szCs w:val="20"/>
              </w:rPr>
              <w:t>食</w:t>
            </w:r>
            <w:r>
              <w:rPr>
                <w:rFonts w:hint="eastAsia"/>
                <w:kern w:val="0"/>
                <w:sz w:val="20"/>
                <w:szCs w:val="20"/>
              </w:rPr>
              <w:t>堂</w:t>
            </w:r>
            <w:r>
              <w:rPr>
                <w:kern w:val="0"/>
                <w:sz w:val="20"/>
                <w:szCs w:val="20"/>
              </w:rPr>
              <w:t>安全管理方案，评委根据投标人提供方案及可行性综合评定0-5分</w:t>
            </w:r>
          </w:p>
        </w:tc>
        <w:tc>
          <w:tcPr>
            <w:tcW w:w="637" w:type="dxa"/>
            <w:tcBorders>
              <w:top w:val="nil"/>
              <w:left w:val="nil"/>
              <w:bottom w:val="single" w:color="000000" w:sz="8" w:space="0"/>
              <w:right w:val="single" w:color="000000" w:sz="8" w:space="0"/>
            </w:tcBorders>
            <w:shd w:val="clear" w:color="auto" w:fill="FFFFFF" w:themeFill="background1"/>
            <w:vAlign w:val="center"/>
          </w:tcPr>
          <w:p w14:paraId="77FB59B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kern w:val="0"/>
                <w:sz w:val="20"/>
                <w:szCs w:val="20"/>
              </w:rPr>
              <w:t>5</w:t>
            </w:r>
          </w:p>
        </w:tc>
        <w:tc>
          <w:tcPr>
            <w:tcW w:w="600" w:type="dxa"/>
            <w:tcBorders>
              <w:top w:val="nil"/>
              <w:left w:val="nil"/>
              <w:bottom w:val="single" w:color="000000" w:sz="8" w:space="0"/>
              <w:right w:val="single" w:color="000000" w:sz="8" w:space="0"/>
            </w:tcBorders>
            <w:shd w:val="clear" w:color="auto" w:fill="FFFFFF" w:themeFill="background1"/>
            <w:vAlign w:val="center"/>
          </w:tcPr>
          <w:p w14:paraId="3EDCFC6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r>
      <w:tr w14:paraId="1858FB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038" w:type="dxa"/>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65B88F7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c>
          <w:tcPr>
            <w:tcW w:w="6613" w:type="dxa"/>
            <w:tcBorders>
              <w:top w:val="nil"/>
              <w:left w:val="nil"/>
              <w:bottom w:val="single" w:color="000000" w:sz="8" w:space="0"/>
              <w:right w:val="single" w:color="000000" w:sz="8" w:space="0"/>
            </w:tcBorders>
            <w:shd w:val="clear" w:color="auto" w:fill="FFFFFF" w:themeFill="background1"/>
            <w:vAlign w:val="center"/>
          </w:tcPr>
          <w:p w14:paraId="051892A9">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kern w:val="0"/>
                <w:sz w:val="20"/>
                <w:szCs w:val="20"/>
              </w:rPr>
            </w:pPr>
            <w:r>
              <w:rPr>
                <w:rFonts w:hint="eastAsia"/>
                <w:kern w:val="0"/>
                <w:sz w:val="20"/>
                <w:szCs w:val="20"/>
              </w:rPr>
              <w:t>食堂应急管理方案，</w:t>
            </w:r>
            <w:r>
              <w:rPr>
                <w:kern w:val="0"/>
                <w:sz w:val="20"/>
                <w:szCs w:val="20"/>
              </w:rPr>
              <w:t>评委根据投标人提供方案及可行性综合评定0-5分</w:t>
            </w:r>
          </w:p>
        </w:tc>
        <w:tc>
          <w:tcPr>
            <w:tcW w:w="637" w:type="dxa"/>
            <w:tcBorders>
              <w:top w:val="nil"/>
              <w:left w:val="nil"/>
              <w:bottom w:val="single" w:color="000000" w:sz="8" w:space="0"/>
              <w:right w:val="single" w:color="000000" w:sz="8" w:space="0"/>
            </w:tcBorders>
            <w:shd w:val="clear" w:color="auto" w:fill="FFFFFF" w:themeFill="background1"/>
            <w:vAlign w:val="center"/>
          </w:tcPr>
          <w:p w14:paraId="4A8DD9A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rPr>
            </w:pPr>
            <w:r>
              <w:rPr>
                <w:rFonts w:hint="eastAsia"/>
                <w:kern w:val="0"/>
                <w:sz w:val="20"/>
                <w:szCs w:val="20"/>
              </w:rPr>
              <w:t>5</w:t>
            </w:r>
          </w:p>
        </w:tc>
        <w:tc>
          <w:tcPr>
            <w:tcW w:w="600" w:type="dxa"/>
            <w:tcBorders>
              <w:top w:val="nil"/>
              <w:left w:val="nil"/>
              <w:bottom w:val="single" w:color="000000" w:sz="8" w:space="0"/>
              <w:right w:val="single" w:color="000000" w:sz="8" w:space="0"/>
            </w:tcBorders>
            <w:shd w:val="clear" w:color="auto" w:fill="FFFFFF" w:themeFill="background1"/>
            <w:vAlign w:val="center"/>
          </w:tcPr>
          <w:p w14:paraId="0D45EC0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r>
      <w:tr w14:paraId="3C87C0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7" w:hRule="atLeast"/>
        </w:trPr>
        <w:tc>
          <w:tcPr>
            <w:tcW w:w="1038" w:type="dxa"/>
            <w:vMerge w:val="continue"/>
            <w:tcBorders>
              <w:top w:val="nil"/>
              <w:left w:val="single" w:color="000000" w:sz="8" w:space="0"/>
              <w:bottom w:val="single" w:color="000000" w:sz="8" w:space="0"/>
              <w:right w:val="single" w:color="000000" w:sz="8" w:space="0"/>
            </w:tcBorders>
            <w:shd w:val="clear" w:color="auto" w:fill="FFFFFF" w:themeFill="background1"/>
            <w:vAlign w:val="center"/>
          </w:tcPr>
          <w:p w14:paraId="3622A1E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c>
          <w:tcPr>
            <w:tcW w:w="6613" w:type="dxa"/>
            <w:tcBorders>
              <w:top w:val="nil"/>
              <w:left w:val="nil"/>
              <w:bottom w:val="single" w:color="000000" w:sz="8" w:space="0"/>
              <w:right w:val="single" w:color="000000" w:sz="8" w:space="0"/>
            </w:tcBorders>
            <w:shd w:val="clear" w:color="auto" w:fill="FFFFFF" w:themeFill="background1"/>
            <w:vAlign w:val="center"/>
          </w:tcPr>
          <w:p w14:paraId="79625F33">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kern w:val="0"/>
                <w:sz w:val="20"/>
                <w:szCs w:val="20"/>
                <w:lang w:eastAsia="zh-Hans"/>
              </w:rPr>
            </w:pPr>
            <w:r>
              <w:rPr>
                <w:kern w:val="0"/>
                <w:sz w:val="20"/>
                <w:szCs w:val="20"/>
              </w:rPr>
              <w:t>配送餐方案，评委根据投标人提供方案及可行性综合评定0-5分</w:t>
            </w:r>
          </w:p>
        </w:tc>
        <w:tc>
          <w:tcPr>
            <w:tcW w:w="637" w:type="dxa"/>
            <w:tcBorders>
              <w:top w:val="nil"/>
              <w:left w:val="nil"/>
              <w:bottom w:val="single" w:color="000000" w:sz="8" w:space="0"/>
              <w:right w:val="single" w:color="000000" w:sz="8" w:space="0"/>
            </w:tcBorders>
            <w:shd w:val="clear" w:color="auto" w:fill="FFFFFF" w:themeFill="background1"/>
            <w:vAlign w:val="center"/>
          </w:tcPr>
          <w:p w14:paraId="3719AF2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rFonts w:hint="eastAsia"/>
                <w:kern w:val="0"/>
                <w:sz w:val="20"/>
                <w:szCs w:val="20"/>
              </w:rPr>
              <w:t>5</w:t>
            </w:r>
          </w:p>
        </w:tc>
        <w:tc>
          <w:tcPr>
            <w:tcW w:w="600" w:type="dxa"/>
            <w:tcBorders>
              <w:top w:val="nil"/>
              <w:left w:val="nil"/>
              <w:bottom w:val="single" w:color="000000" w:sz="8" w:space="0"/>
              <w:right w:val="single" w:color="000000" w:sz="8" w:space="0"/>
            </w:tcBorders>
            <w:shd w:val="clear" w:color="auto" w:fill="FFFFFF" w:themeFill="background1"/>
            <w:vAlign w:val="center"/>
          </w:tcPr>
          <w:p w14:paraId="719362C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r>
      <w:tr w14:paraId="14A7BC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038" w:type="dxa"/>
            <w:vMerge w:val="continue"/>
            <w:tcBorders>
              <w:top w:val="nil"/>
              <w:left w:val="single" w:color="000000" w:sz="8" w:space="0"/>
              <w:bottom w:val="single" w:color="auto" w:sz="4" w:space="0"/>
              <w:right w:val="single" w:color="000000" w:sz="8" w:space="0"/>
            </w:tcBorders>
            <w:shd w:val="clear" w:color="auto" w:fill="FFFFFF" w:themeFill="background1"/>
            <w:vAlign w:val="center"/>
          </w:tcPr>
          <w:p w14:paraId="2F8B4CD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c>
          <w:tcPr>
            <w:tcW w:w="6613" w:type="dxa"/>
            <w:tcBorders>
              <w:top w:val="nil"/>
              <w:left w:val="nil"/>
              <w:bottom w:val="single" w:color="auto" w:sz="4" w:space="0"/>
              <w:right w:val="single" w:color="000000" w:sz="8" w:space="0"/>
            </w:tcBorders>
            <w:shd w:val="clear" w:color="auto" w:fill="FFFFFF" w:themeFill="background1"/>
            <w:vAlign w:val="center"/>
          </w:tcPr>
          <w:p w14:paraId="75E4E78B">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kern w:val="0"/>
                <w:sz w:val="20"/>
                <w:szCs w:val="20"/>
                <w:lang w:eastAsia="zh-Hans"/>
              </w:rPr>
            </w:pPr>
            <w:r>
              <w:rPr>
                <w:kern w:val="0"/>
                <w:sz w:val="20"/>
                <w:szCs w:val="20"/>
              </w:rPr>
              <w:t>服务质量控制方案，评委根据投标人提供方案及可行性综合评定0-5分</w:t>
            </w:r>
          </w:p>
        </w:tc>
        <w:tc>
          <w:tcPr>
            <w:tcW w:w="637" w:type="dxa"/>
            <w:tcBorders>
              <w:top w:val="nil"/>
              <w:left w:val="nil"/>
              <w:bottom w:val="single" w:color="auto" w:sz="4" w:space="0"/>
              <w:right w:val="single" w:color="000000" w:sz="8" w:space="0"/>
            </w:tcBorders>
            <w:shd w:val="clear" w:color="auto" w:fill="FFFFFF" w:themeFill="background1"/>
            <w:vAlign w:val="center"/>
          </w:tcPr>
          <w:p w14:paraId="6259D39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kern w:val="0"/>
                <w:sz w:val="20"/>
                <w:szCs w:val="20"/>
              </w:rPr>
              <w:t>5</w:t>
            </w:r>
          </w:p>
        </w:tc>
        <w:tc>
          <w:tcPr>
            <w:tcW w:w="600" w:type="dxa"/>
            <w:tcBorders>
              <w:top w:val="nil"/>
              <w:left w:val="nil"/>
              <w:bottom w:val="single" w:color="auto" w:sz="4" w:space="0"/>
              <w:right w:val="single" w:color="000000" w:sz="8" w:space="0"/>
            </w:tcBorders>
            <w:shd w:val="clear" w:color="auto" w:fill="FFFFFF" w:themeFill="background1"/>
            <w:vAlign w:val="center"/>
          </w:tcPr>
          <w:p w14:paraId="0D3ABB3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r>
      <w:tr w14:paraId="6D3442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03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44424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kern w:val="0"/>
                <w:sz w:val="20"/>
                <w:szCs w:val="20"/>
              </w:rPr>
              <w:t>类似业绩</w:t>
            </w:r>
          </w:p>
        </w:tc>
        <w:tc>
          <w:tcPr>
            <w:tcW w:w="661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4DFB47">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kern w:val="0"/>
                <w:sz w:val="20"/>
                <w:szCs w:val="20"/>
              </w:rPr>
            </w:pPr>
            <w:r>
              <w:rPr>
                <w:rFonts w:hint="eastAsia"/>
                <w:kern w:val="0"/>
                <w:sz w:val="20"/>
                <w:szCs w:val="20"/>
              </w:rPr>
              <w:t>有营养膳食制作经验得1分，有营养健康食堂建设经验得2分；</w:t>
            </w:r>
          </w:p>
          <w:p w14:paraId="5614FCC2">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kern w:val="0"/>
                <w:sz w:val="20"/>
                <w:szCs w:val="20"/>
                <w:lang w:eastAsia="zh-Hans"/>
              </w:rPr>
            </w:pPr>
            <w:r>
              <w:rPr>
                <w:rFonts w:hint="eastAsia"/>
                <w:kern w:val="0"/>
                <w:sz w:val="20"/>
                <w:szCs w:val="20"/>
              </w:rPr>
              <w:t>2022年1月1日以来</w:t>
            </w:r>
            <w:r>
              <w:rPr>
                <w:kern w:val="0"/>
                <w:sz w:val="20"/>
                <w:szCs w:val="20"/>
              </w:rPr>
              <w:t>有食堂服务管理经验（食堂服务人数100人以上）且服务期限1年及以上得</w:t>
            </w:r>
            <w:r>
              <w:rPr>
                <w:rFonts w:hint="eastAsia"/>
                <w:kern w:val="0"/>
                <w:sz w:val="20"/>
                <w:szCs w:val="20"/>
              </w:rPr>
              <w:t>2</w:t>
            </w:r>
            <w:r>
              <w:rPr>
                <w:kern w:val="0"/>
                <w:sz w:val="20"/>
                <w:szCs w:val="20"/>
              </w:rPr>
              <w:t>分</w:t>
            </w:r>
            <w:r>
              <w:rPr>
                <w:rFonts w:hint="eastAsia"/>
                <w:kern w:val="0"/>
                <w:sz w:val="20"/>
                <w:szCs w:val="20"/>
              </w:rPr>
              <w:t>。</w:t>
            </w:r>
            <w:r>
              <w:rPr>
                <w:kern w:val="0"/>
                <w:sz w:val="20"/>
                <w:szCs w:val="20"/>
              </w:rPr>
              <w:t>（需提供合同及相关佐证资料）</w:t>
            </w:r>
          </w:p>
        </w:tc>
        <w:tc>
          <w:tcPr>
            <w:tcW w:w="63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6B20E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r>
              <w:rPr>
                <w:rFonts w:hint="eastAsia"/>
                <w:kern w:val="0"/>
                <w:sz w:val="20"/>
                <w:szCs w:val="20"/>
              </w:rPr>
              <w:t>5</w:t>
            </w:r>
          </w:p>
        </w:tc>
        <w:tc>
          <w:tcPr>
            <w:tcW w:w="6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E4B1EE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kern w:val="0"/>
                <w:sz w:val="20"/>
                <w:szCs w:val="20"/>
                <w:lang w:eastAsia="zh-Hans"/>
              </w:rPr>
            </w:pPr>
          </w:p>
        </w:tc>
      </w:tr>
    </w:tbl>
    <w:p w14:paraId="7F1D04CA">
      <w:pPr>
        <w:pStyle w:val="12"/>
        <w:rPr>
          <w:rFonts w:hint="default"/>
          <w:lang w:eastAsia="zh-CN"/>
        </w:rPr>
      </w:pPr>
    </w:p>
    <w:p w14:paraId="3C144848">
      <w:pPr>
        <w:pStyle w:val="12"/>
        <w:outlineLvl w:val="2"/>
        <w:rPr>
          <w:rFonts w:hint="default"/>
          <w:b/>
          <w:sz w:val="28"/>
        </w:rPr>
      </w:pPr>
    </w:p>
    <w:p w14:paraId="5ED8807D">
      <w:pPr>
        <w:pStyle w:val="12"/>
        <w:outlineLvl w:val="2"/>
        <w:rPr>
          <w:rFonts w:hint="default"/>
        </w:rPr>
      </w:pPr>
      <w:r>
        <w:rPr>
          <w:b/>
          <w:sz w:val="28"/>
        </w:rPr>
        <w:t>5.5.废标</w:t>
      </w:r>
    </w:p>
    <w:p w14:paraId="38B4EFAD">
      <w:pPr>
        <w:pStyle w:val="12"/>
        <w:ind w:firstLine="480"/>
        <w:rPr>
          <w:rFonts w:hint="default"/>
        </w:rPr>
      </w:pPr>
      <w:r>
        <w:t>本次采购活动中，出现下列情形之一的，予以废标：</w:t>
      </w:r>
    </w:p>
    <w:p w14:paraId="05B966C4">
      <w:pPr>
        <w:pStyle w:val="12"/>
        <w:ind w:firstLine="480"/>
        <w:rPr>
          <w:rFonts w:hint="default"/>
        </w:rPr>
      </w:pPr>
      <w:r>
        <w:t>一、符合专业条件的投标人或者对招标文件作实质响应的投标人不足3家的（如本项目采购包涉及核心产品，经符合性审查，提供核心产品品牌不足3个的，视为有效投标人不足3家）；</w:t>
      </w:r>
    </w:p>
    <w:p w14:paraId="7A6E9179">
      <w:pPr>
        <w:pStyle w:val="12"/>
        <w:ind w:firstLine="480"/>
        <w:rPr>
          <w:rFonts w:hint="default"/>
        </w:rPr>
      </w:pPr>
      <w:r>
        <w:t>二、出现影响采购公正的违法、违规行为的；</w:t>
      </w:r>
    </w:p>
    <w:p w14:paraId="06515C91">
      <w:pPr>
        <w:pStyle w:val="12"/>
        <w:ind w:firstLine="480"/>
        <w:rPr>
          <w:rFonts w:hint="default"/>
        </w:rPr>
      </w:pPr>
      <w:r>
        <w:t>三、因重大变故，采购任务取消的；</w:t>
      </w:r>
    </w:p>
    <w:p w14:paraId="22E5388E">
      <w:pPr>
        <w:pStyle w:val="12"/>
        <w:ind w:firstLine="480"/>
        <w:rPr>
          <w:rFonts w:hint="default"/>
        </w:rPr>
      </w:pPr>
      <w:r>
        <w:t>废标后，</w:t>
      </w:r>
      <w:r>
        <w:rPr>
          <w:lang w:eastAsia="zh-CN"/>
        </w:rPr>
        <w:t>采购人</w:t>
      </w:r>
      <w:r>
        <w:t>将在</w:t>
      </w:r>
      <w:r>
        <w:rPr>
          <w:lang w:eastAsia="zh-CN"/>
        </w:rPr>
        <w:t>邻水县人民医院网</w:t>
      </w:r>
      <w:r>
        <w:t>上公告。</w:t>
      </w:r>
    </w:p>
    <w:p w14:paraId="0E474890">
      <w:pPr>
        <w:pStyle w:val="12"/>
        <w:outlineLvl w:val="2"/>
        <w:rPr>
          <w:rFonts w:hint="default"/>
        </w:rPr>
      </w:pPr>
      <w:r>
        <w:rPr>
          <w:b/>
          <w:sz w:val="28"/>
        </w:rPr>
        <w:t>5.6.定标</w:t>
      </w:r>
    </w:p>
    <w:p w14:paraId="5B2FC4CE">
      <w:pPr>
        <w:pStyle w:val="12"/>
        <w:rPr>
          <w:rFonts w:hint="default"/>
        </w:rPr>
      </w:pPr>
      <w:r>
        <w:t>采购人在评标报告确定的中标候选人名单中按顺序确定中标人。</w:t>
      </w:r>
    </w:p>
    <w:p w14:paraId="32775D0A">
      <w:pPr>
        <w:pStyle w:val="12"/>
        <w:rPr>
          <w:rFonts w:hint="default"/>
        </w:rPr>
      </w:pPr>
      <w:r>
        <w:t>一、采购人应当自收到评标报告之日起5个工作日内，在评标报告确定的中标候选人名单中按顺序确定中标人，未按评标报告推荐的中标候选人顺序确定中标人，又不能说明合法理由的，视同按评标报告推荐的顺序确定排名第一的中标候选人为中标人。</w:t>
      </w:r>
    </w:p>
    <w:p w14:paraId="1138BC53">
      <w:pPr>
        <w:pStyle w:val="12"/>
        <w:rPr>
          <w:rFonts w:hint="default"/>
        </w:rPr>
      </w:pPr>
      <w:r>
        <w:rPr>
          <w:lang w:eastAsia="zh-CN"/>
        </w:rPr>
        <w:t>二</w:t>
      </w:r>
      <w:r>
        <w:t>、</w:t>
      </w:r>
      <w:r>
        <w:rPr>
          <w:lang w:eastAsia="zh-CN"/>
        </w:rPr>
        <w:t>采购人</w:t>
      </w:r>
      <w:r>
        <w:t>应当自中标人确定之日起 2 个工作日内，在</w:t>
      </w:r>
      <w:r>
        <w:rPr>
          <w:lang w:eastAsia="zh-CN"/>
        </w:rPr>
        <w:t>邻水县人民医院网</w:t>
      </w:r>
      <w:r>
        <w:t>公告中标结果。</w:t>
      </w:r>
    </w:p>
    <w:p w14:paraId="69998E5D">
      <w:pPr>
        <w:pStyle w:val="12"/>
        <w:outlineLvl w:val="2"/>
        <w:rPr>
          <w:rFonts w:hint="default"/>
        </w:rPr>
      </w:pPr>
      <w:r>
        <w:rPr>
          <w:b/>
          <w:sz w:val="28"/>
        </w:rPr>
        <w:t>5.7.评标委员会义务</w:t>
      </w:r>
    </w:p>
    <w:p w14:paraId="5BEE69FB">
      <w:pPr>
        <w:pStyle w:val="12"/>
        <w:ind w:firstLine="480"/>
        <w:rPr>
          <w:rFonts w:hint="default"/>
        </w:rPr>
      </w:pPr>
      <w:r>
        <w:t>评标委员会在政府采购活动中应当履行下列义务：</w:t>
      </w:r>
    </w:p>
    <w:p w14:paraId="71398E56">
      <w:pPr>
        <w:pStyle w:val="12"/>
        <w:ind w:firstLine="480"/>
        <w:rPr>
          <w:rFonts w:hint="default"/>
        </w:rPr>
      </w:pPr>
      <w:r>
        <w:t>一、遵守评审工作纪律；</w:t>
      </w:r>
    </w:p>
    <w:p w14:paraId="1A15ED83">
      <w:pPr>
        <w:pStyle w:val="12"/>
        <w:ind w:firstLine="480"/>
        <w:rPr>
          <w:rFonts w:hint="default"/>
        </w:rPr>
      </w:pPr>
      <w:r>
        <w:t>二、按照客观、公正、审慎的原则，根据招标文件规定的评审程序、评审方法和评审标准进行独立评审；</w:t>
      </w:r>
    </w:p>
    <w:p w14:paraId="660D513E">
      <w:pPr>
        <w:pStyle w:val="12"/>
        <w:ind w:firstLine="480"/>
        <w:rPr>
          <w:rFonts w:hint="default"/>
        </w:rPr>
      </w:pPr>
      <w:r>
        <w:t>三、不得泄露评审文件、评审情况和在评审过程中获悉的商业秘密；</w:t>
      </w:r>
    </w:p>
    <w:p w14:paraId="7EC26FB1">
      <w:pPr>
        <w:pStyle w:val="12"/>
        <w:ind w:firstLine="480"/>
        <w:rPr>
          <w:rFonts w:hint="default"/>
        </w:rPr>
      </w:pPr>
      <w:r>
        <w:t>四、及时向监督管理部门报告评审过程中的违法违规情况，包括</w:t>
      </w:r>
      <w:r>
        <w:rPr>
          <w:lang w:eastAsia="zh-CN"/>
        </w:rPr>
        <w:t>采购人</w:t>
      </w:r>
      <w:r>
        <w:t>向</w:t>
      </w:r>
      <w:r>
        <w:rPr>
          <w:lang w:eastAsia="zh-CN"/>
        </w:rPr>
        <w:t>评审人员</w:t>
      </w:r>
      <w:r>
        <w:t>作出倾向性、误导性的解释或者说明情况，投标人行贿、提供虚假材料或者串通情况，其他非法干预评审情况等；</w:t>
      </w:r>
    </w:p>
    <w:p w14:paraId="225336E1">
      <w:pPr>
        <w:pStyle w:val="12"/>
        <w:ind w:firstLine="480"/>
        <w:rPr>
          <w:rFonts w:hint="default"/>
        </w:rPr>
      </w:pPr>
      <w:r>
        <w:t>五、发现招标文件内容违反国家有关强制性规定或者存在歧义、重大缺陷导致评审工作无法进行时，停止评审并向</w:t>
      </w:r>
      <w:r>
        <w:rPr>
          <w:lang w:eastAsia="zh-CN"/>
        </w:rPr>
        <w:t>采购人</w:t>
      </w:r>
      <w:r>
        <w:t>书面说明情况，说明停止评审的情形和具体理由；</w:t>
      </w:r>
    </w:p>
    <w:p w14:paraId="2402AF54">
      <w:pPr>
        <w:pStyle w:val="12"/>
        <w:ind w:firstLine="480"/>
        <w:rPr>
          <w:rFonts w:hint="default"/>
        </w:rPr>
      </w:pPr>
      <w:r>
        <w:t>六、配合答复处理供应商的询问、质疑和投诉等事项；</w:t>
      </w:r>
    </w:p>
    <w:p w14:paraId="4DB6D15E">
      <w:pPr>
        <w:pStyle w:val="12"/>
        <w:ind w:firstLine="480"/>
        <w:rPr>
          <w:rFonts w:hint="default"/>
        </w:rPr>
      </w:pPr>
      <w:r>
        <w:t>七、法律、法规和规章规定的其他义务。</w:t>
      </w:r>
    </w:p>
    <w:p w14:paraId="0864817C">
      <w:pPr>
        <w:pStyle w:val="12"/>
        <w:outlineLvl w:val="2"/>
        <w:rPr>
          <w:rFonts w:hint="default"/>
        </w:rPr>
      </w:pPr>
      <w:r>
        <w:rPr>
          <w:b/>
          <w:sz w:val="28"/>
        </w:rPr>
        <w:t>5.8.评标委员会成员工作纪律</w:t>
      </w:r>
    </w:p>
    <w:p w14:paraId="325F9ADD">
      <w:pPr>
        <w:pStyle w:val="12"/>
        <w:ind w:firstLine="480"/>
        <w:rPr>
          <w:rFonts w:hint="default"/>
        </w:rPr>
      </w:pPr>
      <w:r>
        <w:t>评标委员会成员在政府采购活动中应当遵守以下工作纪律：</w:t>
      </w:r>
    </w:p>
    <w:p w14:paraId="2C8595EC">
      <w:pPr>
        <w:pStyle w:val="12"/>
        <w:ind w:firstLine="480"/>
        <w:rPr>
          <w:rFonts w:hint="default"/>
        </w:rPr>
      </w:pPr>
      <w:r>
        <w:t>一、严格遵守政府采购法律制度关于评标委员会成员回避的规定。</w:t>
      </w:r>
    </w:p>
    <w:p w14:paraId="424D25E0">
      <w:pPr>
        <w:pStyle w:val="12"/>
        <w:ind w:firstLine="480"/>
        <w:rPr>
          <w:rFonts w:hint="default"/>
        </w:rPr>
      </w:pPr>
      <w:r>
        <w:t>二、评审前，应当将通讯工具或者相关电子设备交由</w:t>
      </w:r>
      <w:r>
        <w:rPr>
          <w:lang w:eastAsia="zh-CN"/>
        </w:rPr>
        <w:t>监督人员</w:t>
      </w:r>
      <w:r>
        <w:t>统一保管。</w:t>
      </w:r>
    </w:p>
    <w:p w14:paraId="544A9412">
      <w:pPr>
        <w:pStyle w:val="12"/>
        <w:ind w:firstLine="480"/>
        <w:rPr>
          <w:rFonts w:hint="default"/>
        </w:rPr>
      </w:pPr>
      <w:r>
        <w:t>三、评审过程中，不得与外界联系，因发生不可预见情况，确实需要与外界联系的，应当在监督人员监督之下办理。</w:t>
      </w:r>
    </w:p>
    <w:p w14:paraId="277B38BC">
      <w:pPr>
        <w:pStyle w:val="12"/>
        <w:ind w:firstLine="480"/>
        <w:rPr>
          <w:rFonts w:hint="default"/>
        </w:rPr>
      </w:pPr>
      <w:r>
        <w:t>四、评审过程中，不得干预或者影响正常评审工作，不得发表倾向性、引导性意见，不得修改或细化招标文件确定的评审程序、评审方法、评审因素和评审标准，不得接受投标人主动提出的澄清和解释，不得征询采购人代表的意见，不得协商评分，不得违反规定的评审格式评分和撰写评审意见，不得拒绝对自己的评审意见签字确认。</w:t>
      </w:r>
    </w:p>
    <w:p w14:paraId="6F3FBA44">
      <w:pPr>
        <w:pStyle w:val="12"/>
        <w:ind w:firstLine="480"/>
        <w:rPr>
          <w:rFonts w:hint="default"/>
        </w:rPr>
      </w:pPr>
      <w:r>
        <w:t>五、在评审过程中和评审结束后，不得记录、复制或带走任何评审资料，除因配合答复处理供应商的询问、质疑和投诉等事项外，不得向外界透露评审内容。</w:t>
      </w:r>
    </w:p>
    <w:p w14:paraId="1D119F11">
      <w:pPr>
        <w:pStyle w:val="12"/>
        <w:ind w:firstLine="480"/>
        <w:rPr>
          <w:rFonts w:hint="default"/>
        </w:rPr>
      </w:pPr>
      <w:r>
        <w:t>六、服从评审现场秩序管理，接受评审现场监督人员的合法监督。</w:t>
      </w:r>
    </w:p>
    <w:p w14:paraId="052166FA">
      <w:pPr>
        <w:pStyle w:val="12"/>
        <w:ind w:firstLine="480"/>
        <w:rPr>
          <w:rFonts w:hint="default"/>
        </w:rPr>
      </w:pPr>
      <w:r>
        <w:t>七、遵守有关廉洁自律规定，不得私下接触投标人，不得收受投标人及有关业务单位和个人的财物或好处，不得接受</w:t>
      </w:r>
      <w:r>
        <w:rPr>
          <w:lang w:eastAsia="zh-CN"/>
        </w:rPr>
        <w:t>采购人</w:t>
      </w:r>
      <w:r>
        <w:t>的请托。</w:t>
      </w:r>
    </w:p>
    <w:p w14:paraId="2D99FB51">
      <w:pPr>
        <w:pStyle w:val="12"/>
        <w:rPr>
          <w:rFonts w:hint="default"/>
        </w:rPr>
      </w:pPr>
      <w:r>
        <w:t xml:space="preserve"> </w:t>
      </w:r>
      <w:r>
        <w:br w:type="textWrapping"/>
      </w:r>
      <w:r>
        <w:br w:type="page"/>
      </w:r>
    </w:p>
    <w:p w14:paraId="441EFBFB">
      <w:pPr>
        <w:pStyle w:val="12"/>
        <w:jc w:val="center"/>
        <w:outlineLvl w:val="1"/>
        <w:rPr>
          <w:rFonts w:hint="default"/>
        </w:rPr>
      </w:pPr>
      <w:r>
        <w:rPr>
          <w:b/>
          <w:sz w:val="36"/>
        </w:rPr>
        <w:t>第六章</w:t>
      </w:r>
      <w:r>
        <w:rPr>
          <w:rFonts w:hint="eastAsia"/>
          <w:b/>
          <w:sz w:val="36"/>
          <w:lang w:val="en-US" w:eastAsia="zh-CN"/>
        </w:rPr>
        <w:t xml:space="preserve"> </w:t>
      </w:r>
      <w:r>
        <w:rPr>
          <w:b/>
          <w:sz w:val="36"/>
        </w:rPr>
        <w:t>投标文件格式</w:t>
      </w:r>
    </w:p>
    <w:p w14:paraId="74780EEB">
      <w:pPr>
        <w:pStyle w:val="12"/>
        <w:rPr>
          <w:rFonts w:hint="default"/>
          <w:lang w:eastAsia="zh-CN"/>
        </w:rPr>
      </w:pPr>
    </w:p>
    <w:p w14:paraId="3C0D3125">
      <w:pPr>
        <w:spacing w:line="360" w:lineRule="auto"/>
        <w:rPr>
          <w:color w:val="000000"/>
          <w:sz w:val="21"/>
          <w:szCs w:val="21"/>
        </w:rPr>
      </w:pPr>
    </w:p>
    <w:p w14:paraId="61727E50">
      <w:pPr>
        <w:spacing w:line="360" w:lineRule="auto"/>
        <w:ind w:firstLine="420" w:firstLineChars="200"/>
        <w:rPr>
          <w:color w:val="000000"/>
          <w:sz w:val="21"/>
          <w:szCs w:val="21"/>
        </w:rPr>
      </w:pPr>
      <w:r>
        <w:rPr>
          <w:rFonts w:hint="eastAsia"/>
          <w:color w:val="000000"/>
          <w:sz w:val="21"/>
          <w:szCs w:val="21"/>
        </w:rPr>
        <w:t>一、本章所制响应文件格式，除格式中明确将该格式作为实质性要求的，一律不具有强制性。</w:t>
      </w:r>
    </w:p>
    <w:p w14:paraId="630DC85C">
      <w:pPr>
        <w:spacing w:line="360" w:lineRule="auto"/>
        <w:rPr>
          <w:color w:val="000000"/>
          <w:sz w:val="21"/>
          <w:szCs w:val="21"/>
        </w:rPr>
      </w:pPr>
      <w:r>
        <w:rPr>
          <w:rFonts w:hint="eastAsia"/>
          <w:color w:val="000000"/>
          <w:sz w:val="21"/>
          <w:szCs w:val="21"/>
        </w:rPr>
        <w:t xml:space="preserve">    二、本章所制响应文件格式有关表格中的备注栏，由供应商根据自身响应情况作解释性说明，不作为必填项。</w:t>
      </w:r>
    </w:p>
    <w:p w14:paraId="1CE11122">
      <w:pPr>
        <w:spacing w:line="360" w:lineRule="auto"/>
        <w:ind w:firstLine="420" w:firstLineChars="200"/>
        <w:rPr>
          <w:color w:val="000000"/>
          <w:sz w:val="24"/>
        </w:rPr>
      </w:pPr>
      <w:r>
        <w:rPr>
          <w:rFonts w:hint="eastAsia"/>
          <w:color w:val="000000"/>
          <w:sz w:val="21"/>
          <w:szCs w:val="21"/>
        </w:rPr>
        <w:t>三、本章所制响应文件格式中需要填写的相关内容事项，可能会与本采购项目无关，在不改变响应文件原义、不影响本项目采购需求的情况下，供应商可以不予填写。</w:t>
      </w:r>
    </w:p>
    <w:p w14:paraId="79C2FFB8">
      <w:pPr>
        <w:ind w:firstLine="480" w:firstLineChars="200"/>
        <w:rPr>
          <w:sz w:val="24"/>
        </w:rPr>
      </w:pPr>
    </w:p>
    <w:p w14:paraId="1F6F9F6D">
      <w:pPr>
        <w:ind w:firstLine="480" w:firstLineChars="200"/>
        <w:rPr>
          <w:sz w:val="24"/>
        </w:rPr>
      </w:pPr>
    </w:p>
    <w:p w14:paraId="4C1B0DC4">
      <w:pPr>
        <w:jc w:val="center"/>
        <w:rPr>
          <w:b/>
          <w:sz w:val="32"/>
          <w:szCs w:val="32"/>
        </w:rPr>
      </w:pPr>
    </w:p>
    <w:p w14:paraId="26F39BBE">
      <w:pPr>
        <w:jc w:val="center"/>
        <w:rPr>
          <w:b/>
          <w:sz w:val="32"/>
          <w:szCs w:val="32"/>
        </w:rPr>
      </w:pPr>
    </w:p>
    <w:p w14:paraId="44CE0C14">
      <w:pPr>
        <w:jc w:val="center"/>
        <w:rPr>
          <w:b/>
          <w:sz w:val="32"/>
          <w:szCs w:val="32"/>
        </w:rPr>
      </w:pPr>
    </w:p>
    <w:p w14:paraId="5FB284A4">
      <w:pPr>
        <w:jc w:val="center"/>
        <w:rPr>
          <w:b/>
          <w:sz w:val="32"/>
          <w:szCs w:val="32"/>
        </w:rPr>
      </w:pPr>
    </w:p>
    <w:p w14:paraId="1AE70424">
      <w:pPr>
        <w:jc w:val="center"/>
        <w:rPr>
          <w:b/>
          <w:sz w:val="32"/>
          <w:szCs w:val="32"/>
        </w:rPr>
      </w:pPr>
    </w:p>
    <w:p w14:paraId="74236B02">
      <w:pPr>
        <w:jc w:val="center"/>
        <w:rPr>
          <w:b/>
          <w:sz w:val="32"/>
          <w:szCs w:val="32"/>
        </w:rPr>
      </w:pPr>
    </w:p>
    <w:p w14:paraId="7BF601A8">
      <w:pPr>
        <w:jc w:val="center"/>
        <w:rPr>
          <w:b/>
          <w:sz w:val="32"/>
          <w:szCs w:val="32"/>
        </w:rPr>
      </w:pPr>
    </w:p>
    <w:p w14:paraId="359E768B">
      <w:pPr>
        <w:jc w:val="center"/>
        <w:rPr>
          <w:b/>
          <w:sz w:val="32"/>
          <w:szCs w:val="32"/>
        </w:rPr>
      </w:pPr>
    </w:p>
    <w:p w14:paraId="267A03E6">
      <w:pPr>
        <w:jc w:val="center"/>
        <w:rPr>
          <w:b/>
          <w:sz w:val="32"/>
          <w:szCs w:val="32"/>
        </w:rPr>
      </w:pPr>
    </w:p>
    <w:p w14:paraId="1B922281">
      <w:pPr>
        <w:jc w:val="center"/>
        <w:rPr>
          <w:b/>
          <w:sz w:val="32"/>
          <w:szCs w:val="32"/>
        </w:rPr>
      </w:pPr>
    </w:p>
    <w:p w14:paraId="1B9F30E4">
      <w:pPr>
        <w:jc w:val="center"/>
        <w:rPr>
          <w:b/>
          <w:sz w:val="32"/>
          <w:szCs w:val="32"/>
        </w:rPr>
      </w:pPr>
    </w:p>
    <w:p w14:paraId="1AEA8025">
      <w:pPr>
        <w:jc w:val="center"/>
        <w:rPr>
          <w:b/>
          <w:sz w:val="32"/>
          <w:szCs w:val="32"/>
        </w:rPr>
      </w:pPr>
    </w:p>
    <w:p w14:paraId="000978C7">
      <w:pPr>
        <w:pStyle w:val="3"/>
        <w:rPr>
          <w:b/>
          <w:sz w:val="32"/>
          <w:szCs w:val="32"/>
        </w:rPr>
      </w:pPr>
    </w:p>
    <w:p w14:paraId="33FDF113">
      <w:pPr>
        <w:pStyle w:val="4"/>
        <w:ind w:firstLine="321"/>
        <w:rPr>
          <w:b/>
          <w:sz w:val="32"/>
          <w:szCs w:val="32"/>
        </w:rPr>
      </w:pPr>
    </w:p>
    <w:p w14:paraId="7C990B1B">
      <w:pPr>
        <w:pStyle w:val="4"/>
        <w:ind w:firstLine="321"/>
        <w:rPr>
          <w:b/>
          <w:sz w:val="32"/>
          <w:szCs w:val="32"/>
        </w:rPr>
      </w:pPr>
    </w:p>
    <w:p w14:paraId="5914671A">
      <w:pPr>
        <w:pStyle w:val="4"/>
        <w:ind w:firstLine="321"/>
        <w:rPr>
          <w:b/>
          <w:sz w:val="32"/>
          <w:szCs w:val="32"/>
        </w:rPr>
      </w:pPr>
    </w:p>
    <w:p w14:paraId="063597D3">
      <w:pPr>
        <w:pStyle w:val="4"/>
        <w:ind w:firstLine="321"/>
        <w:rPr>
          <w:b/>
          <w:sz w:val="32"/>
          <w:szCs w:val="32"/>
        </w:rPr>
      </w:pPr>
    </w:p>
    <w:p w14:paraId="426A378E">
      <w:pPr>
        <w:pStyle w:val="4"/>
        <w:ind w:firstLine="321"/>
        <w:rPr>
          <w:b/>
          <w:sz w:val="32"/>
          <w:szCs w:val="32"/>
        </w:rPr>
      </w:pPr>
    </w:p>
    <w:p w14:paraId="7658025F">
      <w:pPr>
        <w:jc w:val="center"/>
        <w:rPr>
          <w:b/>
          <w:sz w:val="32"/>
          <w:szCs w:val="32"/>
        </w:rPr>
      </w:pPr>
    </w:p>
    <w:p w14:paraId="4CF062F0">
      <w:pPr>
        <w:pStyle w:val="2"/>
        <w:spacing w:line="400" w:lineRule="exact"/>
        <w:jc w:val="center"/>
        <w:rPr>
          <w:rFonts w:ascii="宋体" w:hAnsi="宋体" w:eastAsia="宋体"/>
          <w:sz w:val="30"/>
          <w:szCs w:val="30"/>
        </w:rPr>
      </w:pPr>
      <w:r>
        <w:rPr>
          <w:rFonts w:hint="eastAsia" w:ascii="宋体" w:hAnsi="宋体" w:eastAsia="宋体" w:cs="宋体"/>
        </w:rPr>
        <w:t>一、法定代表人身份证明</w:t>
      </w:r>
    </w:p>
    <w:p w14:paraId="6C274204">
      <w:pPr>
        <w:spacing w:line="540" w:lineRule="exact"/>
        <w:ind w:firstLine="1032" w:firstLineChars="430"/>
        <w:rPr>
          <w:rFonts w:ascii="宋体" w:hAnsi="宋体"/>
          <w:sz w:val="24"/>
        </w:rPr>
      </w:pPr>
      <w:r>
        <w:rPr>
          <w:rFonts w:hint="eastAsia" w:ascii="宋体" w:hAnsi="宋体"/>
          <w:sz w:val="24"/>
        </w:rPr>
        <w:t>单位名称：</w:t>
      </w:r>
      <w:r>
        <w:rPr>
          <w:rFonts w:hint="eastAsia" w:ascii="宋体" w:hAnsi="宋体"/>
          <w:sz w:val="24"/>
          <w:u w:val="single"/>
        </w:rPr>
        <w:t xml:space="preserve">                                          </w:t>
      </w:r>
    </w:p>
    <w:p w14:paraId="6EDCF882">
      <w:pPr>
        <w:spacing w:line="540" w:lineRule="exact"/>
        <w:ind w:firstLine="1032" w:firstLineChars="430"/>
        <w:rPr>
          <w:rFonts w:ascii="宋体" w:hAnsi="宋体"/>
          <w:sz w:val="24"/>
        </w:rPr>
      </w:pPr>
      <w:r>
        <w:rPr>
          <w:rFonts w:hint="eastAsia" w:ascii="宋体" w:hAnsi="宋体"/>
          <w:sz w:val="24"/>
        </w:rPr>
        <w:t>单位性质：</w:t>
      </w:r>
      <w:r>
        <w:rPr>
          <w:rFonts w:hint="eastAsia" w:ascii="宋体" w:hAnsi="宋体"/>
          <w:sz w:val="24"/>
          <w:u w:val="single"/>
        </w:rPr>
        <w:t xml:space="preserve">                                          </w:t>
      </w:r>
    </w:p>
    <w:p w14:paraId="05136114">
      <w:pPr>
        <w:spacing w:line="540" w:lineRule="exact"/>
        <w:ind w:firstLine="1032" w:firstLineChars="430"/>
        <w:rPr>
          <w:rFonts w:ascii="宋体" w:hAnsi="宋体"/>
          <w:sz w:val="24"/>
        </w:rPr>
      </w:pPr>
      <w:r>
        <w:rPr>
          <w:rFonts w:hint="eastAsia" w:ascii="宋体" w:hAnsi="宋体"/>
          <w:sz w:val="24"/>
        </w:rPr>
        <w:t xml:space="preserve">地址：    </w:t>
      </w:r>
      <w:r>
        <w:rPr>
          <w:rFonts w:hint="eastAsia" w:ascii="宋体" w:hAnsi="宋体"/>
          <w:sz w:val="24"/>
          <w:u w:val="single"/>
        </w:rPr>
        <w:t xml:space="preserve">                                          </w:t>
      </w:r>
    </w:p>
    <w:p w14:paraId="6B34454E">
      <w:pPr>
        <w:spacing w:line="540" w:lineRule="exact"/>
        <w:ind w:firstLine="1032" w:firstLineChars="43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C98A9E4">
      <w:pPr>
        <w:spacing w:line="540" w:lineRule="exact"/>
        <w:ind w:firstLine="1032" w:firstLineChars="430"/>
        <w:rPr>
          <w:rFonts w:ascii="宋体" w:hAnsi="宋体"/>
          <w:sz w:val="24"/>
        </w:rPr>
      </w:pPr>
      <w:r>
        <w:rPr>
          <w:rFonts w:hint="eastAsia" w:ascii="宋体" w:hAnsi="宋体"/>
          <w:sz w:val="24"/>
        </w:rPr>
        <w:t>经营期限：</w:t>
      </w:r>
      <w:r>
        <w:rPr>
          <w:rFonts w:hint="eastAsia" w:ascii="宋体" w:hAnsi="宋体"/>
          <w:sz w:val="24"/>
          <w:u w:val="single"/>
        </w:rPr>
        <w:t xml:space="preserve">                                          </w:t>
      </w:r>
    </w:p>
    <w:p w14:paraId="586E8BE7">
      <w:pPr>
        <w:spacing w:line="540" w:lineRule="exact"/>
        <w:ind w:firstLine="1032" w:firstLineChars="43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6FBC62E5">
      <w:pPr>
        <w:spacing w:line="540" w:lineRule="exact"/>
        <w:ind w:firstLine="1032" w:firstLineChars="430"/>
        <w:rPr>
          <w:rFonts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D5CE08E">
      <w:pPr>
        <w:spacing w:line="540" w:lineRule="exact"/>
        <w:ind w:firstLine="1032" w:firstLineChars="430"/>
        <w:rPr>
          <w:rFonts w:ascii="宋体" w:hAnsi="宋体"/>
          <w:sz w:val="24"/>
        </w:rPr>
      </w:pPr>
      <w:r>
        <w:rPr>
          <w:rFonts w:hint="eastAsia" w:ascii="宋体" w:hAnsi="宋体"/>
          <w:sz w:val="24"/>
        </w:rPr>
        <w:t>职    务：</w:t>
      </w:r>
      <w:r>
        <w:rPr>
          <w:rFonts w:hint="eastAsia" w:ascii="宋体" w:hAnsi="宋体"/>
          <w:sz w:val="24"/>
          <w:u w:val="single"/>
        </w:rPr>
        <w:t xml:space="preserve">                                          </w:t>
      </w:r>
    </w:p>
    <w:p w14:paraId="24753B7F">
      <w:pPr>
        <w:spacing w:line="540" w:lineRule="exact"/>
        <w:ind w:firstLine="1032" w:firstLineChars="430"/>
        <w:rPr>
          <w:rFonts w:ascii="宋体" w:hAnsi="宋体"/>
          <w:sz w:val="24"/>
        </w:rPr>
      </w:pPr>
      <w:r>
        <w:rPr>
          <w:rFonts w:hint="eastAsia" w:ascii="宋体" w:hAnsi="宋体"/>
          <w:sz w:val="24"/>
        </w:rPr>
        <w:t>身份证号：</w:t>
      </w:r>
      <w:r>
        <w:rPr>
          <w:rFonts w:hint="eastAsia" w:ascii="宋体" w:hAnsi="宋体"/>
          <w:sz w:val="24"/>
          <w:u w:val="single"/>
        </w:rPr>
        <w:t xml:space="preserve">                                          </w:t>
      </w:r>
    </w:p>
    <w:p w14:paraId="2843C277">
      <w:pPr>
        <w:spacing w:line="540" w:lineRule="exact"/>
        <w:ind w:firstLine="1032" w:firstLineChars="430"/>
        <w:rPr>
          <w:rFonts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19E44722">
      <w:pPr>
        <w:spacing w:line="540" w:lineRule="exact"/>
        <w:ind w:firstLine="912" w:firstLineChars="380"/>
        <w:rPr>
          <w:rFonts w:ascii="宋体" w:hAnsi="宋体"/>
          <w:sz w:val="24"/>
        </w:rPr>
      </w:pPr>
      <w:r>
        <w:rPr>
          <w:rFonts w:hint="eastAsia" w:ascii="宋体" w:hAnsi="宋体"/>
          <w:sz w:val="24"/>
        </w:rPr>
        <w:t>特此证明。</w:t>
      </w:r>
    </w:p>
    <w:p w14:paraId="5963CF2E">
      <w:pPr>
        <w:spacing w:line="540" w:lineRule="exact"/>
        <w:ind w:firstLine="840" w:firstLineChars="350"/>
        <w:rPr>
          <w:rFonts w:ascii="宋体" w:hAnsi="宋体"/>
          <w:sz w:val="24"/>
        </w:rPr>
      </w:pPr>
      <w:r>
        <w:rPr>
          <w:rFonts w:hint="eastAsia" w:ascii="宋体" w:hAnsi="宋体"/>
          <w:sz w:val="24"/>
        </w:rPr>
        <w:t>附：法定代表人身份证复印件</w:t>
      </w:r>
    </w:p>
    <w:p w14:paraId="1694523C">
      <w:pPr>
        <w:spacing w:line="540" w:lineRule="exact"/>
        <w:ind w:firstLine="435"/>
        <w:rPr>
          <w:rFonts w:ascii="宋体" w:hAnsi="宋体"/>
          <w:sz w:val="24"/>
        </w:rPr>
      </w:pPr>
    </w:p>
    <w:p w14:paraId="15F29E80">
      <w:pPr>
        <w:spacing w:line="540" w:lineRule="exact"/>
        <w:ind w:firstLine="840" w:firstLineChars="350"/>
        <w:rPr>
          <w:rFonts w:ascii="宋体" w:hAnsi="宋体"/>
          <w:sz w:val="24"/>
        </w:rPr>
      </w:pPr>
      <w:r>
        <w:rPr>
          <w:rFonts w:hint="eastAsia" w:ascii="宋体" w:hAnsi="宋体"/>
          <w:sz w:val="24"/>
        </w:rPr>
        <w:t>供应商：（公章）</w:t>
      </w:r>
    </w:p>
    <w:p w14:paraId="08CF24E7">
      <w:pPr>
        <w:spacing w:line="540" w:lineRule="exact"/>
        <w:ind w:right="960" w:firstLine="840" w:firstLineChars="350"/>
        <w:rPr>
          <w:rFonts w:ascii="宋体" w:hAnsi="宋体"/>
          <w:sz w:val="24"/>
        </w:rPr>
      </w:pPr>
      <w:r>
        <w:rPr>
          <w:rFonts w:hint="eastAsia" w:ascii="宋体" w:hAnsi="宋体"/>
          <w:sz w:val="24"/>
        </w:rPr>
        <w:t>日  期：</w:t>
      </w:r>
    </w:p>
    <w:p w14:paraId="26555822">
      <w:pPr>
        <w:spacing w:line="400" w:lineRule="exact"/>
        <w:ind w:firstLine="482" w:firstLineChars="200"/>
        <w:rPr>
          <w:rFonts w:ascii="宋体" w:hAnsi="宋体"/>
          <w:b/>
          <w:sz w:val="24"/>
        </w:rPr>
      </w:pPr>
    </w:p>
    <w:p w14:paraId="65886B37">
      <w:pPr>
        <w:spacing w:line="400" w:lineRule="exact"/>
        <w:ind w:firstLine="482" w:firstLineChars="200"/>
        <w:rPr>
          <w:rFonts w:ascii="宋体" w:hAnsi="宋体"/>
          <w:b/>
          <w:sz w:val="24"/>
        </w:rPr>
      </w:pPr>
    </w:p>
    <w:p w14:paraId="2CA81155">
      <w:pPr>
        <w:jc w:val="center"/>
        <w:rPr>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1FC0C9D1">
      <w:pPr>
        <w:jc w:val="center"/>
        <w:rPr>
          <w:b/>
          <w:sz w:val="44"/>
        </w:rPr>
      </w:pPr>
    </w:p>
    <w:p w14:paraId="5BF7553C">
      <w:pPr>
        <w:spacing w:line="400" w:lineRule="exact"/>
        <w:jc w:val="left"/>
        <w:rPr>
          <w:rFonts w:ascii="宋体" w:hAnsi="宋体"/>
          <w:sz w:val="24"/>
        </w:rPr>
      </w:pPr>
      <w:r>
        <w:rPr>
          <w:rFonts w:hint="eastAsia" w:ascii="宋体" w:hAnsi="宋体"/>
          <w:sz w:val="24"/>
        </w:rPr>
        <w:t>邻水县人民医院：</w:t>
      </w:r>
    </w:p>
    <w:p w14:paraId="4C268041">
      <w:pPr>
        <w:spacing w:line="400" w:lineRule="exact"/>
        <w:ind w:firstLine="480" w:firstLineChars="200"/>
        <w:rPr>
          <w:rFonts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）询价采购活动的合法代表，以我方名义全权处理该项目有关询价、报价、签订合同以及执行合同等一切事宜。</w:t>
      </w:r>
    </w:p>
    <w:p w14:paraId="62568C53">
      <w:pPr>
        <w:spacing w:line="400" w:lineRule="exact"/>
        <w:ind w:firstLine="480" w:firstLineChars="200"/>
        <w:rPr>
          <w:rFonts w:ascii="宋体" w:hAnsi="宋体"/>
          <w:sz w:val="24"/>
        </w:rPr>
      </w:pPr>
      <w:r>
        <w:rPr>
          <w:rFonts w:hint="eastAsia" w:ascii="宋体" w:hAnsi="宋体"/>
          <w:sz w:val="24"/>
        </w:rPr>
        <w:t>特此声明。</w:t>
      </w:r>
    </w:p>
    <w:p w14:paraId="6B283C7A">
      <w:pPr>
        <w:spacing w:line="400" w:lineRule="exact"/>
        <w:ind w:firstLine="480" w:firstLineChars="200"/>
        <w:rPr>
          <w:rFonts w:ascii="宋体" w:hAnsi="宋体"/>
          <w:sz w:val="24"/>
        </w:rPr>
      </w:pPr>
    </w:p>
    <w:p w14:paraId="209504D5">
      <w:pPr>
        <w:spacing w:line="400" w:lineRule="exact"/>
        <w:ind w:firstLine="480" w:firstLineChars="200"/>
        <w:rPr>
          <w:rFonts w:ascii="宋体" w:hAnsi="宋体"/>
          <w:sz w:val="24"/>
        </w:rPr>
      </w:pPr>
    </w:p>
    <w:p w14:paraId="624572D9">
      <w:pPr>
        <w:spacing w:line="400" w:lineRule="exact"/>
        <w:ind w:firstLine="480" w:firstLineChars="200"/>
        <w:rPr>
          <w:rFonts w:ascii="宋体" w:hAnsi="宋体"/>
          <w:sz w:val="24"/>
        </w:rPr>
      </w:pPr>
      <w:r>
        <w:rPr>
          <w:rFonts w:hint="eastAsia" w:ascii="宋体" w:hAnsi="宋体"/>
          <w:sz w:val="24"/>
        </w:rPr>
        <w:t>供应商名称：XXX（盖单位公章）</w:t>
      </w:r>
    </w:p>
    <w:p w14:paraId="53BD456B">
      <w:pPr>
        <w:spacing w:line="400" w:lineRule="exact"/>
        <w:ind w:firstLine="480" w:firstLineChars="200"/>
        <w:rPr>
          <w:rFonts w:ascii="宋体" w:hAnsi="宋体"/>
          <w:sz w:val="24"/>
        </w:rPr>
      </w:pPr>
      <w:r>
        <w:rPr>
          <w:rFonts w:hint="eastAsia" w:ascii="宋体" w:hAnsi="宋体"/>
          <w:sz w:val="24"/>
        </w:rPr>
        <w:t>法定代表人（签字或盖章）：XXX</w:t>
      </w:r>
    </w:p>
    <w:p w14:paraId="5859F548">
      <w:pPr>
        <w:spacing w:line="400" w:lineRule="exact"/>
        <w:ind w:firstLine="480" w:firstLineChars="200"/>
        <w:rPr>
          <w:rFonts w:ascii="宋体" w:hAnsi="宋体"/>
          <w:sz w:val="24"/>
        </w:rPr>
      </w:pPr>
      <w:r>
        <w:rPr>
          <w:rFonts w:hint="eastAsia" w:ascii="宋体" w:hAnsi="宋体"/>
          <w:sz w:val="24"/>
        </w:rPr>
        <w:t>职    务：XXX</w:t>
      </w:r>
    </w:p>
    <w:p w14:paraId="5CC10098">
      <w:pPr>
        <w:spacing w:line="400" w:lineRule="exact"/>
        <w:ind w:firstLine="480" w:firstLineChars="200"/>
        <w:rPr>
          <w:rFonts w:ascii="宋体" w:hAnsi="宋体"/>
          <w:sz w:val="24"/>
        </w:rPr>
      </w:pPr>
      <w:r>
        <w:rPr>
          <w:rFonts w:hint="eastAsia" w:ascii="宋体" w:hAnsi="宋体"/>
          <w:sz w:val="24"/>
        </w:rPr>
        <w:t>被授权人（签字或盖章）：XXX</w:t>
      </w:r>
    </w:p>
    <w:p w14:paraId="3A317274">
      <w:pPr>
        <w:spacing w:line="400" w:lineRule="exact"/>
        <w:ind w:firstLine="480" w:firstLineChars="200"/>
        <w:rPr>
          <w:rFonts w:ascii="宋体" w:hAnsi="宋体"/>
          <w:sz w:val="24"/>
        </w:rPr>
      </w:pPr>
      <w:r>
        <w:rPr>
          <w:rFonts w:hint="eastAsia" w:ascii="宋体" w:hAnsi="宋体"/>
          <w:sz w:val="24"/>
        </w:rPr>
        <w:t>职    务：XXX</w:t>
      </w:r>
    </w:p>
    <w:p w14:paraId="14DAD968">
      <w:pPr>
        <w:pStyle w:val="3"/>
        <w:rPr>
          <w:rFonts w:eastAsia="宋体"/>
        </w:rPr>
      </w:pPr>
      <w:r>
        <w:rPr>
          <w:rFonts w:hint="eastAsia" w:ascii="宋体" w:hAnsi="宋体"/>
          <w:sz w:val="24"/>
        </w:rPr>
        <w:t xml:space="preserve">    联系电话：XXX</w:t>
      </w:r>
    </w:p>
    <w:p w14:paraId="22906AD3">
      <w:pPr>
        <w:spacing w:line="400" w:lineRule="exact"/>
        <w:ind w:firstLine="480" w:firstLineChars="200"/>
        <w:rPr>
          <w:rFonts w:ascii="宋体" w:hAnsi="宋体"/>
          <w:sz w:val="24"/>
        </w:rPr>
      </w:pPr>
      <w:r>
        <w:rPr>
          <w:rFonts w:hint="eastAsia" w:ascii="宋体" w:hAnsi="宋体"/>
          <w:sz w:val="24"/>
        </w:rPr>
        <w:t>日    期：XXX年XXX月XXX日</w:t>
      </w:r>
    </w:p>
    <w:p w14:paraId="49CDC18D">
      <w:pPr>
        <w:spacing w:line="540" w:lineRule="exact"/>
        <w:ind w:firstLine="480" w:firstLineChars="200"/>
        <w:rPr>
          <w:rFonts w:ascii="宋体" w:hAnsi="宋体"/>
          <w:sz w:val="24"/>
        </w:rPr>
      </w:pPr>
      <w:r>
        <w:rPr>
          <w:rFonts w:hint="eastAsia" w:ascii="宋体" w:hAnsi="宋体"/>
          <w:sz w:val="24"/>
        </w:rPr>
        <w:t>附：法定代表授权人人身份证复印件</w:t>
      </w:r>
    </w:p>
    <w:p w14:paraId="3E0020DB">
      <w:pPr>
        <w:spacing w:line="400" w:lineRule="exact"/>
        <w:rPr>
          <w:sz w:val="24"/>
        </w:rPr>
      </w:pPr>
    </w:p>
    <w:p w14:paraId="1765AD40">
      <w:pPr>
        <w:spacing w:line="400" w:lineRule="exact"/>
        <w:rPr>
          <w:sz w:val="32"/>
        </w:rPr>
      </w:pPr>
    </w:p>
    <w:p w14:paraId="462D9147">
      <w:pPr>
        <w:spacing w:line="400" w:lineRule="exact"/>
        <w:rPr>
          <w:sz w:val="32"/>
        </w:rPr>
      </w:pPr>
    </w:p>
    <w:p w14:paraId="3B60E61B">
      <w:pPr>
        <w:spacing w:line="400" w:lineRule="exact"/>
        <w:rPr>
          <w:sz w:val="32"/>
        </w:rPr>
      </w:pPr>
    </w:p>
    <w:p w14:paraId="7D2FCAA7">
      <w:pPr>
        <w:spacing w:line="400" w:lineRule="exact"/>
        <w:rPr>
          <w:sz w:val="32"/>
        </w:rPr>
      </w:pPr>
    </w:p>
    <w:p w14:paraId="74F51D86">
      <w:pPr>
        <w:spacing w:line="400" w:lineRule="exact"/>
        <w:rPr>
          <w:sz w:val="32"/>
        </w:rPr>
      </w:pPr>
    </w:p>
    <w:p w14:paraId="4786278A">
      <w:pPr>
        <w:jc w:val="center"/>
        <w:rPr>
          <w:b/>
          <w:sz w:val="32"/>
          <w:szCs w:val="32"/>
        </w:rPr>
      </w:pPr>
    </w:p>
    <w:p w14:paraId="0AF959ED">
      <w:pPr>
        <w:pStyle w:val="3"/>
        <w:rPr>
          <w:b/>
          <w:sz w:val="32"/>
          <w:szCs w:val="32"/>
        </w:rPr>
      </w:pPr>
    </w:p>
    <w:p w14:paraId="529DBF23">
      <w:pPr>
        <w:pStyle w:val="4"/>
        <w:ind w:firstLine="321"/>
        <w:rPr>
          <w:b/>
          <w:sz w:val="32"/>
          <w:szCs w:val="32"/>
        </w:rPr>
      </w:pPr>
    </w:p>
    <w:p w14:paraId="0B79989C">
      <w:pPr>
        <w:pStyle w:val="4"/>
        <w:ind w:firstLine="321"/>
        <w:rPr>
          <w:b/>
          <w:sz w:val="32"/>
          <w:szCs w:val="32"/>
        </w:rPr>
      </w:pPr>
    </w:p>
    <w:p w14:paraId="1BF7415F">
      <w:pPr>
        <w:jc w:val="center"/>
        <w:rPr>
          <w:b/>
          <w:sz w:val="32"/>
          <w:szCs w:val="32"/>
        </w:rPr>
      </w:pPr>
    </w:p>
    <w:p w14:paraId="4418EEBC">
      <w:pPr>
        <w:jc w:val="center"/>
        <w:rPr>
          <w:b/>
          <w:sz w:val="32"/>
          <w:szCs w:val="32"/>
        </w:rPr>
      </w:pPr>
    </w:p>
    <w:p w14:paraId="724F587B">
      <w:pPr>
        <w:jc w:val="center"/>
        <w:rPr>
          <w:b/>
          <w:sz w:val="32"/>
          <w:szCs w:val="32"/>
        </w:rPr>
      </w:pPr>
    </w:p>
    <w:p w14:paraId="04D02FD1">
      <w:pPr>
        <w:jc w:val="center"/>
        <w:rPr>
          <w:b/>
          <w:sz w:val="32"/>
          <w:szCs w:val="32"/>
        </w:rPr>
      </w:pPr>
    </w:p>
    <w:p w14:paraId="09BFFC97">
      <w:pPr>
        <w:jc w:val="center"/>
        <w:rPr>
          <w:rFonts w:ascii="宋体" w:hAnsi="宋体" w:cs="Arial"/>
          <w:b/>
          <w:bCs/>
          <w:sz w:val="32"/>
          <w:szCs w:val="32"/>
        </w:rPr>
      </w:pPr>
      <w:r>
        <w:rPr>
          <w:rFonts w:hint="eastAsia" w:ascii="宋体" w:hAnsi="宋体" w:cs="Arial"/>
          <w:b/>
          <w:bCs/>
          <w:sz w:val="32"/>
          <w:szCs w:val="32"/>
        </w:rPr>
        <w:t>三、供应商基本情况表</w:t>
      </w:r>
    </w:p>
    <w:p w14:paraId="72201512">
      <w:pPr>
        <w:ind w:firstLine="420" w:firstLineChars="200"/>
        <w:jc w:val="left"/>
        <w:rPr>
          <w:rFonts w:ascii="宋体" w:hAnsi="宋体" w:cs="Arial"/>
          <w:szCs w:val="21"/>
        </w:rPr>
      </w:pPr>
      <w:r>
        <w:rPr>
          <w:rFonts w:hint="eastAsia" w:ascii="宋体" w:hAnsi="宋体" w:cs="Arial"/>
          <w:szCs w:val="21"/>
        </w:rPr>
        <w:t>项目编号：</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0CD2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vAlign w:val="center"/>
          </w:tcPr>
          <w:p w14:paraId="19B9F503">
            <w:pPr>
              <w:jc w:val="center"/>
              <w:rPr>
                <w:rFonts w:ascii="宋体" w:hAnsi="宋体" w:cs="Arial"/>
                <w:bCs/>
                <w:color w:val="000000"/>
                <w:szCs w:val="21"/>
              </w:rPr>
            </w:pPr>
            <w:r>
              <w:rPr>
                <w:rFonts w:hint="eastAsia" w:ascii="宋体" w:hAnsi="宋体" w:cs="Arial"/>
                <w:bCs/>
                <w:color w:val="000000"/>
                <w:szCs w:val="21"/>
              </w:rPr>
              <w:t>供应商名称</w:t>
            </w:r>
          </w:p>
        </w:tc>
        <w:tc>
          <w:tcPr>
            <w:tcW w:w="4113" w:type="pct"/>
            <w:gridSpan w:val="9"/>
            <w:vAlign w:val="center"/>
          </w:tcPr>
          <w:p w14:paraId="3B2A1DB6">
            <w:pPr>
              <w:jc w:val="center"/>
              <w:rPr>
                <w:rFonts w:ascii="宋体" w:hAnsi="宋体" w:cs="Arial"/>
                <w:bCs/>
                <w:color w:val="000000"/>
                <w:szCs w:val="21"/>
              </w:rPr>
            </w:pPr>
          </w:p>
        </w:tc>
      </w:tr>
      <w:tr w14:paraId="3CFC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vAlign w:val="center"/>
          </w:tcPr>
          <w:p w14:paraId="552CDCA4">
            <w:pPr>
              <w:jc w:val="center"/>
              <w:rPr>
                <w:rFonts w:ascii="宋体" w:hAnsi="宋体" w:cs="Arial"/>
                <w:bCs/>
                <w:color w:val="000000"/>
                <w:szCs w:val="21"/>
              </w:rPr>
            </w:pPr>
            <w:r>
              <w:rPr>
                <w:rFonts w:hint="eastAsia" w:ascii="宋体" w:hAnsi="宋体" w:cs="Arial"/>
                <w:bCs/>
                <w:color w:val="000000"/>
                <w:szCs w:val="21"/>
              </w:rPr>
              <w:t>注册地址</w:t>
            </w:r>
          </w:p>
        </w:tc>
        <w:tc>
          <w:tcPr>
            <w:tcW w:w="2458" w:type="pct"/>
            <w:gridSpan w:val="4"/>
            <w:vAlign w:val="center"/>
          </w:tcPr>
          <w:p w14:paraId="642DBDDC">
            <w:pPr>
              <w:jc w:val="center"/>
              <w:rPr>
                <w:rFonts w:ascii="宋体" w:hAnsi="宋体" w:cs="Arial"/>
                <w:bCs/>
                <w:color w:val="000000"/>
                <w:szCs w:val="21"/>
              </w:rPr>
            </w:pPr>
          </w:p>
        </w:tc>
        <w:tc>
          <w:tcPr>
            <w:tcW w:w="761" w:type="pct"/>
            <w:gridSpan w:val="2"/>
            <w:vAlign w:val="center"/>
          </w:tcPr>
          <w:p w14:paraId="4FE7D7CE">
            <w:pPr>
              <w:jc w:val="center"/>
              <w:rPr>
                <w:rFonts w:ascii="宋体" w:hAnsi="宋体" w:cs="Arial"/>
                <w:bCs/>
                <w:color w:val="000000"/>
                <w:szCs w:val="21"/>
              </w:rPr>
            </w:pPr>
            <w:r>
              <w:rPr>
                <w:rFonts w:hint="eastAsia" w:ascii="宋体" w:hAnsi="宋体" w:cs="Arial"/>
                <w:bCs/>
                <w:color w:val="000000"/>
                <w:szCs w:val="21"/>
              </w:rPr>
              <w:t>邮政编码</w:t>
            </w:r>
          </w:p>
        </w:tc>
        <w:tc>
          <w:tcPr>
            <w:tcW w:w="894" w:type="pct"/>
            <w:gridSpan w:val="3"/>
            <w:vAlign w:val="center"/>
          </w:tcPr>
          <w:p w14:paraId="238B323A">
            <w:pPr>
              <w:jc w:val="center"/>
              <w:rPr>
                <w:rFonts w:ascii="宋体" w:hAnsi="宋体" w:cs="Arial"/>
                <w:bCs/>
                <w:color w:val="000000"/>
                <w:szCs w:val="21"/>
              </w:rPr>
            </w:pPr>
          </w:p>
        </w:tc>
      </w:tr>
      <w:tr w14:paraId="7131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vAlign w:val="center"/>
          </w:tcPr>
          <w:p w14:paraId="25617E37">
            <w:pPr>
              <w:jc w:val="center"/>
              <w:rPr>
                <w:rFonts w:ascii="宋体" w:hAnsi="宋体" w:cs="Arial"/>
                <w:bCs/>
                <w:color w:val="000000"/>
                <w:szCs w:val="21"/>
              </w:rPr>
            </w:pPr>
            <w:r>
              <w:rPr>
                <w:rFonts w:hint="eastAsia" w:ascii="宋体" w:hAnsi="宋体" w:cs="Arial"/>
                <w:bCs/>
                <w:color w:val="000000"/>
                <w:szCs w:val="21"/>
              </w:rPr>
              <w:t>联系方式</w:t>
            </w:r>
          </w:p>
        </w:tc>
        <w:tc>
          <w:tcPr>
            <w:tcW w:w="511" w:type="pct"/>
            <w:vAlign w:val="center"/>
          </w:tcPr>
          <w:p w14:paraId="348C3387">
            <w:pPr>
              <w:jc w:val="center"/>
              <w:rPr>
                <w:rFonts w:ascii="宋体" w:hAnsi="宋体" w:cs="Arial"/>
                <w:bCs/>
                <w:color w:val="000000"/>
                <w:szCs w:val="21"/>
              </w:rPr>
            </w:pPr>
            <w:r>
              <w:rPr>
                <w:rFonts w:hint="eastAsia" w:ascii="宋体" w:hAnsi="宋体" w:cs="Arial"/>
                <w:bCs/>
                <w:color w:val="000000"/>
                <w:szCs w:val="21"/>
              </w:rPr>
              <w:t>单位联系人</w:t>
            </w:r>
          </w:p>
        </w:tc>
        <w:tc>
          <w:tcPr>
            <w:tcW w:w="1946" w:type="pct"/>
            <w:gridSpan w:val="3"/>
            <w:vAlign w:val="center"/>
          </w:tcPr>
          <w:p w14:paraId="37674EEE">
            <w:pPr>
              <w:jc w:val="center"/>
              <w:rPr>
                <w:rFonts w:ascii="宋体" w:hAnsi="宋体" w:cs="Arial"/>
                <w:bCs/>
                <w:color w:val="000000"/>
                <w:szCs w:val="21"/>
              </w:rPr>
            </w:pPr>
          </w:p>
        </w:tc>
        <w:tc>
          <w:tcPr>
            <w:tcW w:w="761" w:type="pct"/>
            <w:gridSpan w:val="2"/>
            <w:vAlign w:val="center"/>
          </w:tcPr>
          <w:p w14:paraId="3E1DB05D">
            <w:pPr>
              <w:jc w:val="center"/>
              <w:rPr>
                <w:rFonts w:ascii="宋体" w:hAnsi="宋体" w:cs="Arial"/>
                <w:bCs/>
                <w:color w:val="000000"/>
                <w:szCs w:val="21"/>
              </w:rPr>
            </w:pPr>
            <w:r>
              <w:rPr>
                <w:rFonts w:hint="eastAsia" w:ascii="宋体" w:hAnsi="宋体" w:cs="Arial"/>
                <w:bCs/>
                <w:color w:val="000000"/>
                <w:szCs w:val="21"/>
              </w:rPr>
              <w:t>联系电话</w:t>
            </w:r>
          </w:p>
        </w:tc>
        <w:tc>
          <w:tcPr>
            <w:tcW w:w="894" w:type="pct"/>
            <w:gridSpan w:val="3"/>
            <w:vAlign w:val="center"/>
          </w:tcPr>
          <w:p w14:paraId="37EF81C2">
            <w:pPr>
              <w:jc w:val="center"/>
              <w:rPr>
                <w:rFonts w:ascii="宋体" w:hAnsi="宋体" w:cs="Arial"/>
                <w:bCs/>
                <w:color w:val="000000"/>
                <w:szCs w:val="21"/>
              </w:rPr>
            </w:pPr>
          </w:p>
        </w:tc>
      </w:tr>
      <w:tr w14:paraId="2B0C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vAlign w:val="center"/>
          </w:tcPr>
          <w:p w14:paraId="724ED29E">
            <w:pPr>
              <w:jc w:val="center"/>
              <w:rPr>
                <w:rFonts w:ascii="宋体" w:hAnsi="宋体" w:cs="Arial"/>
                <w:bCs/>
                <w:color w:val="000000"/>
                <w:szCs w:val="21"/>
              </w:rPr>
            </w:pPr>
          </w:p>
        </w:tc>
        <w:tc>
          <w:tcPr>
            <w:tcW w:w="511" w:type="pct"/>
            <w:vAlign w:val="center"/>
          </w:tcPr>
          <w:p w14:paraId="4C0E9A2B">
            <w:pPr>
              <w:jc w:val="center"/>
              <w:rPr>
                <w:rFonts w:ascii="宋体" w:hAnsi="宋体" w:cs="Arial"/>
                <w:bCs/>
                <w:color w:val="000000"/>
                <w:szCs w:val="21"/>
              </w:rPr>
            </w:pPr>
            <w:r>
              <w:rPr>
                <w:rFonts w:hint="eastAsia" w:ascii="宋体" w:hAnsi="宋体" w:cs="Arial"/>
                <w:bCs/>
                <w:color w:val="000000"/>
                <w:szCs w:val="21"/>
              </w:rPr>
              <w:t>传真</w:t>
            </w:r>
          </w:p>
        </w:tc>
        <w:tc>
          <w:tcPr>
            <w:tcW w:w="1946" w:type="pct"/>
            <w:gridSpan w:val="3"/>
            <w:vAlign w:val="center"/>
          </w:tcPr>
          <w:p w14:paraId="073AD1D2">
            <w:pPr>
              <w:jc w:val="center"/>
              <w:rPr>
                <w:rFonts w:ascii="宋体" w:hAnsi="宋体" w:cs="Arial"/>
                <w:bCs/>
                <w:color w:val="000000"/>
                <w:szCs w:val="21"/>
              </w:rPr>
            </w:pPr>
          </w:p>
        </w:tc>
        <w:tc>
          <w:tcPr>
            <w:tcW w:w="761" w:type="pct"/>
            <w:gridSpan w:val="2"/>
            <w:vAlign w:val="center"/>
          </w:tcPr>
          <w:p w14:paraId="65BC180C">
            <w:pPr>
              <w:jc w:val="center"/>
              <w:rPr>
                <w:rFonts w:ascii="宋体" w:hAnsi="宋体" w:cs="Arial"/>
                <w:bCs/>
                <w:color w:val="000000"/>
                <w:szCs w:val="21"/>
              </w:rPr>
            </w:pPr>
            <w:r>
              <w:rPr>
                <w:rFonts w:hint="eastAsia" w:ascii="宋体" w:hAnsi="宋体" w:cs="Arial"/>
                <w:bCs/>
                <w:color w:val="000000"/>
                <w:szCs w:val="21"/>
              </w:rPr>
              <w:t>网址</w:t>
            </w:r>
          </w:p>
        </w:tc>
        <w:tc>
          <w:tcPr>
            <w:tcW w:w="894" w:type="pct"/>
            <w:gridSpan w:val="3"/>
            <w:vAlign w:val="center"/>
          </w:tcPr>
          <w:p w14:paraId="74630ACB">
            <w:pPr>
              <w:jc w:val="center"/>
              <w:rPr>
                <w:rFonts w:ascii="宋体" w:hAnsi="宋体" w:cs="Arial"/>
                <w:bCs/>
                <w:color w:val="000000"/>
                <w:szCs w:val="21"/>
              </w:rPr>
            </w:pPr>
          </w:p>
        </w:tc>
      </w:tr>
      <w:tr w14:paraId="36E0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vAlign w:val="center"/>
          </w:tcPr>
          <w:p w14:paraId="41A1BB84">
            <w:pPr>
              <w:jc w:val="center"/>
              <w:rPr>
                <w:rFonts w:ascii="宋体" w:hAnsi="宋体" w:cs="Arial"/>
                <w:bCs/>
                <w:color w:val="000000"/>
                <w:szCs w:val="21"/>
              </w:rPr>
            </w:pPr>
            <w:r>
              <w:rPr>
                <w:rFonts w:hint="eastAsia" w:ascii="宋体" w:hAnsi="宋体" w:cs="Arial"/>
                <w:bCs/>
                <w:color w:val="000000"/>
                <w:szCs w:val="21"/>
              </w:rPr>
              <w:t>组织结构</w:t>
            </w:r>
          </w:p>
        </w:tc>
        <w:tc>
          <w:tcPr>
            <w:tcW w:w="4113" w:type="pct"/>
            <w:gridSpan w:val="9"/>
            <w:vAlign w:val="center"/>
          </w:tcPr>
          <w:p w14:paraId="63A176A0">
            <w:pPr>
              <w:jc w:val="center"/>
              <w:rPr>
                <w:rFonts w:ascii="宋体" w:hAnsi="宋体" w:cs="Arial"/>
                <w:bCs/>
                <w:color w:val="000000"/>
                <w:szCs w:val="21"/>
              </w:rPr>
            </w:pPr>
          </w:p>
        </w:tc>
      </w:tr>
      <w:tr w14:paraId="6D2B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vAlign w:val="center"/>
          </w:tcPr>
          <w:p w14:paraId="77B4E2E3">
            <w:pPr>
              <w:jc w:val="center"/>
              <w:rPr>
                <w:rFonts w:ascii="宋体" w:hAnsi="宋体" w:cs="Arial"/>
                <w:bCs/>
                <w:color w:val="000000"/>
                <w:szCs w:val="21"/>
              </w:rPr>
            </w:pPr>
            <w:r>
              <w:rPr>
                <w:rFonts w:hint="eastAsia" w:ascii="宋体" w:hAnsi="宋体" w:cs="Arial"/>
                <w:bCs/>
                <w:color w:val="000000"/>
                <w:szCs w:val="21"/>
              </w:rPr>
              <w:t>法定代表人</w:t>
            </w:r>
          </w:p>
        </w:tc>
        <w:tc>
          <w:tcPr>
            <w:tcW w:w="511" w:type="pct"/>
            <w:vAlign w:val="center"/>
          </w:tcPr>
          <w:p w14:paraId="6B96E888">
            <w:pPr>
              <w:jc w:val="center"/>
              <w:rPr>
                <w:rFonts w:ascii="宋体" w:hAnsi="宋体" w:cs="Arial"/>
                <w:bCs/>
                <w:color w:val="000000"/>
                <w:szCs w:val="21"/>
              </w:rPr>
            </w:pPr>
            <w:r>
              <w:rPr>
                <w:rFonts w:hint="eastAsia" w:ascii="宋体" w:hAnsi="宋体" w:cs="Arial"/>
                <w:bCs/>
                <w:color w:val="000000"/>
                <w:szCs w:val="21"/>
              </w:rPr>
              <w:t>姓名</w:t>
            </w:r>
          </w:p>
        </w:tc>
        <w:tc>
          <w:tcPr>
            <w:tcW w:w="855" w:type="pct"/>
            <w:vAlign w:val="center"/>
          </w:tcPr>
          <w:p w14:paraId="1EE578E6">
            <w:pPr>
              <w:jc w:val="center"/>
              <w:rPr>
                <w:rFonts w:ascii="宋体" w:hAnsi="宋体" w:cs="Arial"/>
                <w:bCs/>
                <w:color w:val="000000"/>
                <w:szCs w:val="21"/>
              </w:rPr>
            </w:pPr>
          </w:p>
        </w:tc>
        <w:tc>
          <w:tcPr>
            <w:tcW w:w="695" w:type="pct"/>
            <w:vAlign w:val="center"/>
          </w:tcPr>
          <w:p w14:paraId="119EFA25">
            <w:pPr>
              <w:jc w:val="center"/>
              <w:rPr>
                <w:rFonts w:ascii="宋体" w:hAnsi="宋体" w:cs="Arial"/>
                <w:bCs/>
                <w:color w:val="000000"/>
                <w:szCs w:val="21"/>
              </w:rPr>
            </w:pPr>
            <w:r>
              <w:rPr>
                <w:rFonts w:hint="eastAsia" w:ascii="宋体" w:hAnsi="宋体" w:cs="Arial"/>
                <w:bCs/>
                <w:color w:val="000000"/>
                <w:szCs w:val="21"/>
              </w:rPr>
              <w:t>职务</w:t>
            </w:r>
          </w:p>
        </w:tc>
        <w:tc>
          <w:tcPr>
            <w:tcW w:w="610" w:type="pct"/>
            <w:gridSpan w:val="2"/>
            <w:vAlign w:val="center"/>
          </w:tcPr>
          <w:p w14:paraId="1EECC7BB">
            <w:pPr>
              <w:jc w:val="center"/>
              <w:rPr>
                <w:rFonts w:ascii="宋体" w:hAnsi="宋体" w:cs="Arial"/>
                <w:bCs/>
                <w:color w:val="000000"/>
                <w:szCs w:val="21"/>
              </w:rPr>
            </w:pPr>
          </w:p>
        </w:tc>
        <w:tc>
          <w:tcPr>
            <w:tcW w:w="761" w:type="pct"/>
            <w:gridSpan w:val="3"/>
            <w:vAlign w:val="center"/>
          </w:tcPr>
          <w:p w14:paraId="4E697BA7">
            <w:pPr>
              <w:jc w:val="center"/>
              <w:rPr>
                <w:rFonts w:ascii="宋体" w:hAnsi="宋体" w:cs="Arial"/>
                <w:bCs/>
                <w:color w:val="000000"/>
                <w:szCs w:val="21"/>
              </w:rPr>
            </w:pPr>
            <w:r>
              <w:rPr>
                <w:rFonts w:hint="eastAsia" w:ascii="宋体" w:hAnsi="宋体" w:cs="Arial"/>
                <w:bCs/>
                <w:color w:val="000000"/>
                <w:szCs w:val="21"/>
              </w:rPr>
              <w:t>联系电话</w:t>
            </w:r>
          </w:p>
        </w:tc>
        <w:tc>
          <w:tcPr>
            <w:tcW w:w="679" w:type="pct"/>
            <w:vAlign w:val="center"/>
          </w:tcPr>
          <w:p w14:paraId="7F9A0EAD">
            <w:pPr>
              <w:jc w:val="center"/>
              <w:rPr>
                <w:rFonts w:ascii="宋体" w:hAnsi="宋体" w:cs="Arial"/>
                <w:bCs/>
                <w:color w:val="000000"/>
                <w:szCs w:val="21"/>
              </w:rPr>
            </w:pPr>
          </w:p>
        </w:tc>
      </w:tr>
      <w:tr w14:paraId="1D5A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vAlign w:val="center"/>
          </w:tcPr>
          <w:p w14:paraId="26B0A90E">
            <w:pPr>
              <w:jc w:val="center"/>
              <w:rPr>
                <w:rFonts w:ascii="宋体" w:hAnsi="宋体" w:cs="Arial"/>
                <w:bCs/>
                <w:color w:val="000000"/>
                <w:szCs w:val="21"/>
              </w:rPr>
            </w:pPr>
            <w:r>
              <w:rPr>
                <w:rFonts w:hint="eastAsia" w:ascii="宋体" w:hAnsi="宋体" w:cs="Arial"/>
                <w:bCs/>
                <w:color w:val="000000"/>
                <w:szCs w:val="21"/>
              </w:rPr>
              <w:t>本项目授权代表（如有）</w:t>
            </w:r>
          </w:p>
        </w:tc>
        <w:tc>
          <w:tcPr>
            <w:tcW w:w="511" w:type="pct"/>
            <w:vAlign w:val="center"/>
          </w:tcPr>
          <w:p w14:paraId="41DC3541">
            <w:pPr>
              <w:jc w:val="center"/>
              <w:rPr>
                <w:rFonts w:ascii="宋体" w:hAnsi="宋体" w:cs="Arial"/>
                <w:bCs/>
                <w:color w:val="000000"/>
                <w:szCs w:val="21"/>
              </w:rPr>
            </w:pPr>
            <w:r>
              <w:rPr>
                <w:rFonts w:hint="eastAsia" w:ascii="宋体" w:hAnsi="宋体" w:cs="Arial"/>
                <w:bCs/>
                <w:color w:val="000000"/>
                <w:szCs w:val="21"/>
              </w:rPr>
              <w:t>姓名</w:t>
            </w:r>
          </w:p>
        </w:tc>
        <w:tc>
          <w:tcPr>
            <w:tcW w:w="855" w:type="pct"/>
            <w:vAlign w:val="center"/>
          </w:tcPr>
          <w:p w14:paraId="39780C27">
            <w:pPr>
              <w:jc w:val="center"/>
              <w:rPr>
                <w:rFonts w:ascii="宋体" w:hAnsi="宋体" w:cs="Arial"/>
                <w:bCs/>
                <w:color w:val="000000"/>
                <w:szCs w:val="21"/>
              </w:rPr>
            </w:pPr>
          </w:p>
        </w:tc>
        <w:tc>
          <w:tcPr>
            <w:tcW w:w="695" w:type="pct"/>
            <w:vAlign w:val="center"/>
          </w:tcPr>
          <w:p w14:paraId="6BB74E3F">
            <w:pPr>
              <w:jc w:val="center"/>
              <w:rPr>
                <w:rFonts w:ascii="宋体" w:hAnsi="宋体" w:cs="Arial"/>
                <w:bCs/>
                <w:color w:val="000000"/>
                <w:szCs w:val="21"/>
              </w:rPr>
            </w:pPr>
            <w:r>
              <w:rPr>
                <w:rFonts w:hint="eastAsia" w:ascii="宋体" w:hAnsi="宋体" w:cs="Arial"/>
                <w:bCs/>
                <w:color w:val="000000"/>
                <w:szCs w:val="21"/>
              </w:rPr>
              <w:t>职务</w:t>
            </w:r>
          </w:p>
        </w:tc>
        <w:tc>
          <w:tcPr>
            <w:tcW w:w="610" w:type="pct"/>
            <w:gridSpan w:val="2"/>
            <w:vAlign w:val="center"/>
          </w:tcPr>
          <w:p w14:paraId="313B0C9E">
            <w:pPr>
              <w:jc w:val="center"/>
              <w:rPr>
                <w:rFonts w:ascii="宋体" w:hAnsi="宋体" w:cs="Arial"/>
                <w:bCs/>
                <w:color w:val="000000"/>
                <w:szCs w:val="21"/>
              </w:rPr>
            </w:pPr>
          </w:p>
        </w:tc>
        <w:tc>
          <w:tcPr>
            <w:tcW w:w="761" w:type="pct"/>
            <w:gridSpan w:val="3"/>
            <w:vAlign w:val="center"/>
          </w:tcPr>
          <w:p w14:paraId="1D1AD2CA">
            <w:pPr>
              <w:jc w:val="center"/>
              <w:rPr>
                <w:rFonts w:ascii="宋体" w:hAnsi="宋体" w:cs="Arial"/>
                <w:bCs/>
                <w:color w:val="000000"/>
                <w:szCs w:val="21"/>
              </w:rPr>
            </w:pPr>
            <w:r>
              <w:rPr>
                <w:rFonts w:hint="eastAsia" w:ascii="宋体" w:hAnsi="宋体" w:cs="Arial"/>
                <w:bCs/>
                <w:color w:val="000000"/>
                <w:szCs w:val="21"/>
              </w:rPr>
              <w:t>联系电话</w:t>
            </w:r>
          </w:p>
        </w:tc>
        <w:tc>
          <w:tcPr>
            <w:tcW w:w="679" w:type="pct"/>
            <w:vAlign w:val="center"/>
          </w:tcPr>
          <w:p w14:paraId="3844745C">
            <w:pPr>
              <w:jc w:val="center"/>
              <w:rPr>
                <w:rFonts w:ascii="宋体" w:hAnsi="宋体" w:cs="Arial"/>
                <w:bCs/>
                <w:color w:val="000000"/>
                <w:szCs w:val="21"/>
              </w:rPr>
            </w:pPr>
          </w:p>
        </w:tc>
      </w:tr>
      <w:tr w14:paraId="0018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vAlign w:val="center"/>
          </w:tcPr>
          <w:p w14:paraId="664BEC48">
            <w:pPr>
              <w:jc w:val="center"/>
              <w:rPr>
                <w:rFonts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vAlign w:val="center"/>
          </w:tcPr>
          <w:p w14:paraId="37F2FA34">
            <w:pPr>
              <w:jc w:val="center"/>
              <w:rPr>
                <w:rFonts w:ascii="宋体" w:hAnsi="宋体" w:cs="宋体"/>
                <w:bCs/>
                <w:color w:val="000000"/>
                <w:sz w:val="24"/>
              </w:rPr>
            </w:pPr>
          </w:p>
        </w:tc>
      </w:tr>
      <w:tr w14:paraId="48BC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vAlign w:val="center"/>
          </w:tcPr>
          <w:p w14:paraId="6A9CCFBE">
            <w:pPr>
              <w:jc w:val="center"/>
              <w:rPr>
                <w:rFonts w:ascii="宋体" w:hAnsi="宋体" w:cs="Arial"/>
                <w:bCs/>
                <w:color w:val="000000"/>
                <w:szCs w:val="21"/>
              </w:rPr>
            </w:pPr>
            <w:r>
              <w:rPr>
                <w:rFonts w:hint="eastAsia" w:ascii="宋体" w:hAnsi="宋体" w:cs="Arial"/>
                <w:bCs/>
                <w:color w:val="000000"/>
                <w:szCs w:val="21"/>
              </w:rPr>
              <w:t>技术负责人</w:t>
            </w:r>
          </w:p>
        </w:tc>
        <w:tc>
          <w:tcPr>
            <w:tcW w:w="511" w:type="pct"/>
            <w:vAlign w:val="center"/>
          </w:tcPr>
          <w:p w14:paraId="41D5EF36">
            <w:pPr>
              <w:jc w:val="center"/>
              <w:rPr>
                <w:rFonts w:ascii="宋体" w:hAnsi="宋体" w:cs="Arial"/>
                <w:bCs/>
                <w:color w:val="000000"/>
                <w:szCs w:val="21"/>
              </w:rPr>
            </w:pPr>
            <w:r>
              <w:rPr>
                <w:rFonts w:hint="eastAsia" w:ascii="宋体" w:hAnsi="宋体" w:cs="Arial"/>
                <w:bCs/>
                <w:color w:val="000000"/>
                <w:szCs w:val="21"/>
              </w:rPr>
              <w:t>姓名</w:t>
            </w:r>
          </w:p>
        </w:tc>
        <w:tc>
          <w:tcPr>
            <w:tcW w:w="855" w:type="pct"/>
            <w:vAlign w:val="center"/>
          </w:tcPr>
          <w:p w14:paraId="20E13304">
            <w:pPr>
              <w:jc w:val="center"/>
              <w:rPr>
                <w:rFonts w:ascii="宋体" w:hAnsi="宋体" w:cs="Arial"/>
                <w:bCs/>
                <w:color w:val="000000"/>
                <w:szCs w:val="21"/>
              </w:rPr>
            </w:pPr>
          </w:p>
        </w:tc>
        <w:tc>
          <w:tcPr>
            <w:tcW w:w="695" w:type="pct"/>
            <w:vAlign w:val="center"/>
          </w:tcPr>
          <w:p w14:paraId="3A50E480">
            <w:pPr>
              <w:jc w:val="center"/>
              <w:rPr>
                <w:rFonts w:ascii="宋体" w:hAnsi="宋体" w:cs="Arial"/>
                <w:bCs/>
                <w:color w:val="000000"/>
                <w:szCs w:val="21"/>
              </w:rPr>
            </w:pPr>
            <w:r>
              <w:rPr>
                <w:rFonts w:hint="eastAsia" w:ascii="宋体" w:hAnsi="宋体" w:cs="Arial"/>
                <w:bCs/>
                <w:color w:val="000000"/>
                <w:szCs w:val="21"/>
              </w:rPr>
              <w:t>技术职称</w:t>
            </w:r>
          </w:p>
        </w:tc>
        <w:tc>
          <w:tcPr>
            <w:tcW w:w="610" w:type="pct"/>
            <w:gridSpan w:val="2"/>
            <w:vAlign w:val="center"/>
          </w:tcPr>
          <w:p w14:paraId="260296DA">
            <w:pPr>
              <w:jc w:val="center"/>
              <w:rPr>
                <w:rFonts w:ascii="宋体" w:hAnsi="宋体" w:cs="Arial"/>
                <w:bCs/>
                <w:color w:val="000000"/>
                <w:szCs w:val="21"/>
              </w:rPr>
            </w:pPr>
          </w:p>
        </w:tc>
        <w:tc>
          <w:tcPr>
            <w:tcW w:w="761" w:type="pct"/>
            <w:gridSpan w:val="3"/>
            <w:vAlign w:val="center"/>
          </w:tcPr>
          <w:p w14:paraId="5E5FFABF">
            <w:pPr>
              <w:jc w:val="center"/>
              <w:rPr>
                <w:rFonts w:ascii="宋体" w:hAnsi="宋体" w:cs="Arial"/>
                <w:bCs/>
                <w:color w:val="000000"/>
                <w:szCs w:val="21"/>
              </w:rPr>
            </w:pPr>
            <w:r>
              <w:rPr>
                <w:rFonts w:hint="eastAsia" w:ascii="宋体" w:hAnsi="宋体" w:cs="Arial"/>
                <w:bCs/>
                <w:color w:val="000000"/>
                <w:szCs w:val="21"/>
              </w:rPr>
              <w:t>联系电话</w:t>
            </w:r>
          </w:p>
        </w:tc>
        <w:tc>
          <w:tcPr>
            <w:tcW w:w="679" w:type="pct"/>
            <w:vAlign w:val="center"/>
          </w:tcPr>
          <w:p w14:paraId="45EF99E0">
            <w:pPr>
              <w:jc w:val="center"/>
              <w:rPr>
                <w:rFonts w:ascii="宋体" w:hAnsi="宋体" w:cs="Arial"/>
                <w:bCs/>
                <w:color w:val="000000"/>
                <w:szCs w:val="21"/>
              </w:rPr>
            </w:pPr>
          </w:p>
        </w:tc>
      </w:tr>
      <w:tr w14:paraId="6D2F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vAlign w:val="center"/>
          </w:tcPr>
          <w:p w14:paraId="33DF0E64">
            <w:pPr>
              <w:jc w:val="center"/>
              <w:rPr>
                <w:rFonts w:ascii="宋体" w:hAnsi="宋体" w:cs="Arial"/>
                <w:bCs/>
                <w:color w:val="000000"/>
                <w:szCs w:val="21"/>
              </w:rPr>
            </w:pPr>
            <w:r>
              <w:rPr>
                <w:rFonts w:hint="eastAsia" w:ascii="宋体" w:hAnsi="宋体" w:cs="Arial"/>
                <w:bCs/>
                <w:color w:val="000000"/>
                <w:szCs w:val="21"/>
              </w:rPr>
              <w:t>成立时间</w:t>
            </w:r>
          </w:p>
        </w:tc>
        <w:tc>
          <w:tcPr>
            <w:tcW w:w="1366" w:type="pct"/>
            <w:gridSpan w:val="2"/>
            <w:vAlign w:val="center"/>
          </w:tcPr>
          <w:p w14:paraId="50A3813B">
            <w:pPr>
              <w:jc w:val="center"/>
              <w:rPr>
                <w:rFonts w:ascii="宋体" w:hAnsi="宋体" w:cs="Arial"/>
                <w:bCs/>
                <w:color w:val="000000"/>
                <w:szCs w:val="21"/>
              </w:rPr>
            </w:pPr>
          </w:p>
        </w:tc>
        <w:tc>
          <w:tcPr>
            <w:tcW w:w="2746" w:type="pct"/>
            <w:gridSpan w:val="7"/>
            <w:vAlign w:val="center"/>
          </w:tcPr>
          <w:p w14:paraId="63A3D8CD">
            <w:pPr>
              <w:jc w:val="center"/>
              <w:rPr>
                <w:rFonts w:ascii="宋体" w:hAnsi="宋体" w:cs="Arial"/>
                <w:bCs/>
                <w:color w:val="000000"/>
                <w:szCs w:val="21"/>
              </w:rPr>
            </w:pPr>
            <w:r>
              <w:rPr>
                <w:rFonts w:hint="eastAsia" w:ascii="宋体" w:hAnsi="宋体" w:cs="Arial"/>
                <w:bCs/>
                <w:color w:val="000000"/>
                <w:szCs w:val="21"/>
              </w:rPr>
              <w:t>员工总人数：</w:t>
            </w:r>
          </w:p>
        </w:tc>
      </w:tr>
      <w:tr w14:paraId="5BA9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vAlign w:val="center"/>
          </w:tcPr>
          <w:p w14:paraId="14C11A39">
            <w:pPr>
              <w:ind w:right="-174" w:rightChars="-83"/>
              <w:jc w:val="center"/>
              <w:rPr>
                <w:rFonts w:ascii="宋体" w:hAnsi="宋体" w:cs="Arial"/>
                <w:bCs/>
                <w:color w:val="000000"/>
                <w:szCs w:val="21"/>
              </w:rPr>
            </w:pPr>
            <w:r>
              <w:rPr>
                <w:rFonts w:hint="eastAsia" w:ascii="宋体" w:hAnsi="宋体" w:cs="Arial"/>
                <w:bCs/>
                <w:color w:val="000000"/>
                <w:szCs w:val="21"/>
              </w:rPr>
              <w:t>企业资质等级</w:t>
            </w:r>
          </w:p>
        </w:tc>
        <w:tc>
          <w:tcPr>
            <w:tcW w:w="1366" w:type="pct"/>
            <w:gridSpan w:val="2"/>
            <w:vAlign w:val="center"/>
          </w:tcPr>
          <w:p w14:paraId="58061A43">
            <w:pPr>
              <w:jc w:val="center"/>
              <w:rPr>
                <w:rFonts w:ascii="宋体" w:hAnsi="宋体" w:cs="Arial"/>
                <w:bCs/>
                <w:color w:val="000000"/>
                <w:szCs w:val="21"/>
              </w:rPr>
            </w:pPr>
          </w:p>
        </w:tc>
        <w:tc>
          <w:tcPr>
            <w:tcW w:w="1091" w:type="pct"/>
            <w:gridSpan w:val="2"/>
            <w:vMerge w:val="restart"/>
            <w:vAlign w:val="center"/>
          </w:tcPr>
          <w:p w14:paraId="52864D3C">
            <w:pPr>
              <w:jc w:val="center"/>
              <w:rPr>
                <w:rFonts w:ascii="宋体" w:hAnsi="宋体" w:cs="Arial"/>
                <w:bCs/>
                <w:color w:val="000000"/>
                <w:szCs w:val="21"/>
              </w:rPr>
            </w:pPr>
            <w:r>
              <w:rPr>
                <w:rFonts w:hint="eastAsia" w:ascii="宋体" w:hAnsi="宋体" w:cs="Arial"/>
                <w:bCs/>
                <w:color w:val="000000"/>
                <w:szCs w:val="21"/>
              </w:rPr>
              <w:t>其中</w:t>
            </w:r>
          </w:p>
        </w:tc>
        <w:tc>
          <w:tcPr>
            <w:tcW w:w="807" w:type="pct"/>
            <w:gridSpan w:val="3"/>
            <w:vAlign w:val="center"/>
          </w:tcPr>
          <w:p w14:paraId="17751E9E">
            <w:pPr>
              <w:jc w:val="center"/>
              <w:rPr>
                <w:rFonts w:ascii="宋体" w:hAnsi="宋体" w:cs="Arial"/>
                <w:bCs/>
                <w:color w:val="000000"/>
                <w:szCs w:val="21"/>
              </w:rPr>
            </w:pPr>
            <w:r>
              <w:rPr>
                <w:rFonts w:hint="eastAsia" w:ascii="宋体" w:hAnsi="宋体" w:cs="Arial"/>
                <w:bCs/>
                <w:color w:val="000000"/>
                <w:szCs w:val="21"/>
              </w:rPr>
              <w:t>项目经理</w:t>
            </w:r>
          </w:p>
        </w:tc>
        <w:tc>
          <w:tcPr>
            <w:tcW w:w="847" w:type="pct"/>
            <w:gridSpan w:val="2"/>
            <w:vAlign w:val="center"/>
          </w:tcPr>
          <w:p w14:paraId="2C7FDB74">
            <w:pPr>
              <w:jc w:val="center"/>
              <w:rPr>
                <w:rFonts w:ascii="宋体" w:hAnsi="宋体" w:cs="Arial"/>
                <w:bCs/>
                <w:color w:val="000000"/>
                <w:szCs w:val="21"/>
              </w:rPr>
            </w:pPr>
          </w:p>
        </w:tc>
      </w:tr>
      <w:tr w14:paraId="7D0A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vAlign w:val="center"/>
          </w:tcPr>
          <w:p w14:paraId="2816582F">
            <w:pPr>
              <w:jc w:val="center"/>
              <w:rPr>
                <w:rFonts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vAlign w:val="center"/>
          </w:tcPr>
          <w:p w14:paraId="382D26D7">
            <w:pPr>
              <w:jc w:val="center"/>
              <w:rPr>
                <w:rFonts w:ascii="宋体" w:hAnsi="宋体" w:cs="Arial"/>
                <w:bCs/>
                <w:color w:val="000000"/>
                <w:szCs w:val="21"/>
              </w:rPr>
            </w:pPr>
          </w:p>
        </w:tc>
        <w:tc>
          <w:tcPr>
            <w:tcW w:w="1091" w:type="pct"/>
            <w:gridSpan w:val="2"/>
            <w:vMerge w:val="continue"/>
            <w:vAlign w:val="center"/>
          </w:tcPr>
          <w:p w14:paraId="024C63A0">
            <w:pPr>
              <w:jc w:val="center"/>
              <w:rPr>
                <w:rFonts w:ascii="宋体" w:hAnsi="宋体" w:cs="Arial"/>
                <w:bCs/>
                <w:color w:val="000000"/>
                <w:szCs w:val="21"/>
              </w:rPr>
            </w:pPr>
          </w:p>
        </w:tc>
        <w:tc>
          <w:tcPr>
            <w:tcW w:w="807" w:type="pct"/>
            <w:gridSpan w:val="3"/>
            <w:vAlign w:val="center"/>
          </w:tcPr>
          <w:p w14:paraId="495CDB65">
            <w:pPr>
              <w:jc w:val="center"/>
              <w:rPr>
                <w:rFonts w:ascii="宋体" w:hAnsi="宋体" w:cs="Arial"/>
                <w:bCs/>
                <w:color w:val="000000"/>
                <w:szCs w:val="21"/>
              </w:rPr>
            </w:pPr>
            <w:r>
              <w:rPr>
                <w:rFonts w:hint="eastAsia" w:ascii="宋体" w:hAnsi="宋体" w:cs="Arial"/>
                <w:bCs/>
                <w:color w:val="000000"/>
                <w:szCs w:val="21"/>
              </w:rPr>
              <w:t>高级职称人员</w:t>
            </w:r>
          </w:p>
        </w:tc>
        <w:tc>
          <w:tcPr>
            <w:tcW w:w="847" w:type="pct"/>
            <w:gridSpan w:val="2"/>
            <w:vAlign w:val="center"/>
          </w:tcPr>
          <w:p w14:paraId="61ED1FC1">
            <w:pPr>
              <w:jc w:val="center"/>
              <w:rPr>
                <w:rFonts w:ascii="宋体" w:hAnsi="宋体" w:cs="Arial"/>
                <w:bCs/>
                <w:color w:val="000000"/>
                <w:szCs w:val="21"/>
              </w:rPr>
            </w:pPr>
          </w:p>
        </w:tc>
      </w:tr>
      <w:tr w14:paraId="5716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vAlign w:val="center"/>
          </w:tcPr>
          <w:p w14:paraId="30F17C92">
            <w:pPr>
              <w:jc w:val="center"/>
              <w:rPr>
                <w:rFonts w:ascii="宋体" w:hAnsi="宋体" w:cs="Arial"/>
                <w:bCs/>
                <w:color w:val="000000"/>
                <w:szCs w:val="21"/>
              </w:rPr>
            </w:pPr>
            <w:r>
              <w:rPr>
                <w:rFonts w:hint="eastAsia" w:ascii="宋体" w:hAnsi="宋体" w:cs="Arial"/>
                <w:bCs/>
                <w:color w:val="000000"/>
                <w:szCs w:val="21"/>
              </w:rPr>
              <w:t>注册资金</w:t>
            </w:r>
          </w:p>
        </w:tc>
        <w:tc>
          <w:tcPr>
            <w:tcW w:w="1366" w:type="pct"/>
            <w:gridSpan w:val="2"/>
            <w:vAlign w:val="center"/>
          </w:tcPr>
          <w:p w14:paraId="52B815A6">
            <w:pPr>
              <w:jc w:val="center"/>
              <w:rPr>
                <w:rFonts w:ascii="宋体" w:hAnsi="宋体" w:cs="Arial"/>
                <w:bCs/>
                <w:color w:val="000000"/>
                <w:szCs w:val="21"/>
              </w:rPr>
            </w:pPr>
          </w:p>
        </w:tc>
        <w:tc>
          <w:tcPr>
            <w:tcW w:w="1091" w:type="pct"/>
            <w:gridSpan w:val="2"/>
            <w:vMerge w:val="continue"/>
            <w:vAlign w:val="center"/>
          </w:tcPr>
          <w:p w14:paraId="69FBBEE1">
            <w:pPr>
              <w:jc w:val="center"/>
              <w:rPr>
                <w:rFonts w:ascii="宋体" w:hAnsi="宋体" w:cs="Arial"/>
                <w:bCs/>
                <w:color w:val="000000"/>
                <w:szCs w:val="21"/>
              </w:rPr>
            </w:pPr>
          </w:p>
        </w:tc>
        <w:tc>
          <w:tcPr>
            <w:tcW w:w="807" w:type="pct"/>
            <w:gridSpan w:val="3"/>
            <w:vAlign w:val="center"/>
          </w:tcPr>
          <w:p w14:paraId="1D0D0D43">
            <w:pPr>
              <w:jc w:val="center"/>
              <w:rPr>
                <w:rFonts w:ascii="宋体" w:hAnsi="宋体" w:cs="Arial"/>
                <w:bCs/>
                <w:color w:val="000000"/>
                <w:szCs w:val="21"/>
              </w:rPr>
            </w:pPr>
            <w:r>
              <w:rPr>
                <w:rFonts w:hint="eastAsia" w:ascii="宋体" w:hAnsi="宋体" w:cs="Arial"/>
                <w:bCs/>
                <w:color w:val="000000"/>
                <w:szCs w:val="21"/>
              </w:rPr>
              <w:t>中级职称人员</w:t>
            </w:r>
          </w:p>
        </w:tc>
        <w:tc>
          <w:tcPr>
            <w:tcW w:w="847" w:type="pct"/>
            <w:gridSpan w:val="2"/>
            <w:vAlign w:val="center"/>
          </w:tcPr>
          <w:p w14:paraId="1C0D0CC3">
            <w:pPr>
              <w:jc w:val="center"/>
              <w:rPr>
                <w:rFonts w:ascii="宋体" w:hAnsi="宋体" w:cs="Arial"/>
                <w:bCs/>
                <w:color w:val="000000"/>
                <w:szCs w:val="21"/>
              </w:rPr>
            </w:pPr>
          </w:p>
        </w:tc>
      </w:tr>
      <w:tr w14:paraId="4481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vAlign w:val="center"/>
          </w:tcPr>
          <w:p w14:paraId="3DF989AE">
            <w:pPr>
              <w:jc w:val="center"/>
              <w:rPr>
                <w:rFonts w:ascii="宋体" w:hAnsi="宋体" w:cs="Arial"/>
                <w:bCs/>
                <w:color w:val="000000"/>
                <w:szCs w:val="21"/>
              </w:rPr>
            </w:pPr>
            <w:r>
              <w:rPr>
                <w:rFonts w:hint="eastAsia" w:ascii="宋体" w:hAnsi="宋体" w:cs="Arial"/>
                <w:bCs/>
                <w:color w:val="000000"/>
                <w:szCs w:val="21"/>
              </w:rPr>
              <w:t>开户银行</w:t>
            </w:r>
          </w:p>
        </w:tc>
        <w:tc>
          <w:tcPr>
            <w:tcW w:w="1366" w:type="pct"/>
            <w:gridSpan w:val="2"/>
            <w:vAlign w:val="center"/>
          </w:tcPr>
          <w:p w14:paraId="50F35A5F">
            <w:pPr>
              <w:jc w:val="center"/>
              <w:rPr>
                <w:rFonts w:ascii="宋体" w:hAnsi="宋体" w:cs="Arial"/>
                <w:bCs/>
                <w:color w:val="000000"/>
                <w:szCs w:val="21"/>
              </w:rPr>
            </w:pPr>
          </w:p>
        </w:tc>
        <w:tc>
          <w:tcPr>
            <w:tcW w:w="1091" w:type="pct"/>
            <w:gridSpan w:val="2"/>
            <w:vMerge w:val="continue"/>
            <w:vAlign w:val="center"/>
          </w:tcPr>
          <w:p w14:paraId="2D4E8D30">
            <w:pPr>
              <w:jc w:val="center"/>
              <w:rPr>
                <w:rFonts w:ascii="宋体" w:hAnsi="宋体" w:cs="Arial"/>
                <w:bCs/>
                <w:color w:val="000000"/>
                <w:szCs w:val="21"/>
              </w:rPr>
            </w:pPr>
          </w:p>
        </w:tc>
        <w:tc>
          <w:tcPr>
            <w:tcW w:w="807" w:type="pct"/>
            <w:gridSpan w:val="3"/>
            <w:vAlign w:val="center"/>
          </w:tcPr>
          <w:p w14:paraId="0DF27776">
            <w:pPr>
              <w:jc w:val="center"/>
              <w:rPr>
                <w:rFonts w:ascii="宋体" w:hAnsi="宋体" w:cs="Arial"/>
                <w:bCs/>
                <w:color w:val="000000"/>
                <w:szCs w:val="21"/>
              </w:rPr>
            </w:pPr>
            <w:r>
              <w:rPr>
                <w:rFonts w:hint="eastAsia" w:ascii="宋体" w:hAnsi="宋体" w:cs="Arial"/>
                <w:bCs/>
                <w:color w:val="000000"/>
                <w:szCs w:val="21"/>
              </w:rPr>
              <w:t>初级职称人员</w:t>
            </w:r>
          </w:p>
        </w:tc>
        <w:tc>
          <w:tcPr>
            <w:tcW w:w="847" w:type="pct"/>
            <w:gridSpan w:val="2"/>
            <w:vAlign w:val="center"/>
          </w:tcPr>
          <w:p w14:paraId="0C22A17E">
            <w:pPr>
              <w:jc w:val="center"/>
              <w:rPr>
                <w:rFonts w:ascii="宋体" w:hAnsi="宋体" w:cs="Arial"/>
                <w:bCs/>
                <w:color w:val="000000"/>
                <w:szCs w:val="21"/>
              </w:rPr>
            </w:pPr>
          </w:p>
        </w:tc>
      </w:tr>
      <w:tr w14:paraId="4701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vAlign w:val="center"/>
          </w:tcPr>
          <w:p w14:paraId="5F6F573A">
            <w:pPr>
              <w:jc w:val="center"/>
              <w:rPr>
                <w:rFonts w:ascii="宋体" w:hAnsi="宋体" w:cs="Arial"/>
                <w:bCs/>
                <w:color w:val="000000"/>
                <w:szCs w:val="21"/>
              </w:rPr>
            </w:pPr>
            <w:r>
              <w:rPr>
                <w:rFonts w:hint="eastAsia" w:ascii="宋体" w:hAnsi="宋体" w:cs="Arial"/>
                <w:bCs/>
                <w:color w:val="000000"/>
                <w:szCs w:val="21"/>
              </w:rPr>
              <w:t>账号</w:t>
            </w:r>
          </w:p>
        </w:tc>
        <w:tc>
          <w:tcPr>
            <w:tcW w:w="1366" w:type="pct"/>
            <w:gridSpan w:val="2"/>
            <w:vAlign w:val="center"/>
          </w:tcPr>
          <w:p w14:paraId="27AC2A8D">
            <w:pPr>
              <w:jc w:val="center"/>
              <w:rPr>
                <w:rFonts w:ascii="宋体" w:hAnsi="宋体" w:cs="Arial"/>
                <w:bCs/>
                <w:color w:val="000000"/>
                <w:szCs w:val="21"/>
              </w:rPr>
            </w:pPr>
          </w:p>
        </w:tc>
        <w:tc>
          <w:tcPr>
            <w:tcW w:w="1091" w:type="pct"/>
            <w:gridSpan w:val="2"/>
            <w:vMerge w:val="continue"/>
            <w:vAlign w:val="center"/>
          </w:tcPr>
          <w:p w14:paraId="25666C8E">
            <w:pPr>
              <w:jc w:val="center"/>
              <w:rPr>
                <w:rFonts w:ascii="宋体" w:hAnsi="宋体" w:cs="Arial"/>
                <w:bCs/>
                <w:color w:val="000000"/>
                <w:szCs w:val="21"/>
              </w:rPr>
            </w:pPr>
          </w:p>
        </w:tc>
        <w:tc>
          <w:tcPr>
            <w:tcW w:w="807" w:type="pct"/>
            <w:gridSpan w:val="3"/>
            <w:vAlign w:val="center"/>
          </w:tcPr>
          <w:p w14:paraId="685447F2">
            <w:pPr>
              <w:jc w:val="center"/>
              <w:rPr>
                <w:rFonts w:ascii="宋体" w:hAnsi="宋体" w:cs="Arial"/>
                <w:bCs/>
                <w:color w:val="000000"/>
                <w:szCs w:val="21"/>
              </w:rPr>
            </w:pPr>
            <w:r>
              <w:rPr>
                <w:rFonts w:hint="eastAsia" w:ascii="宋体" w:hAnsi="宋体" w:cs="Arial"/>
                <w:bCs/>
                <w:color w:val="000000"/>
                <w:szCs w:val="21"/>
              </w:rPr>
              <w:t>技工</w:t>
            </w:r>
          </w:p>
        </w:tc>
        <w:tc>
          <w:tcPr>
            <w:tcW w:w="847" w:type="pct"/>
            <w:gridSpan w:val="2"/>
            <w:vAlign w:val="center"/>
          </w:tcPr>
          <w:p w14:paraId="0A10B5D2">
            <w:pPr>
              <w:jc w:val="center"/>
              <w:rPr>
                <w:rFonts w:ascii="宋体" w:hAnsi="宋体" w:cs="Arial"/>
                <w:bCs/>
                <w:color w:val="000000"/>
                <w:szCs w:val="21"/>
              </w:rPr>
            </w:pPr>
          </w:p>
        </w:tc>
      </w:tr>
      <w:tr w14:paraId="226E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vAlign w:val="center"/>
          </w:tcPr>
          <w:p w14:paraId="1F766DCF">
            <w:pPr>
              <w:jc w:val="center"/>
              <w:rPr>
                <w:rFonts w:ascii="宋体" w:hAnsi="宋体" w:cs="Arial"/>
                <w:bCs/>
                <w:color w:val="000000"/>
                <w:szCs w:val="21"/>
              </w:rPr>
            </w:pPr>
            <w:r>
              <w:rPr>
                <w:rFonts w:hint="eastAsia" w:ascii="宋体" w:hAnsi="宋体" w:cs="Arial"/>
                <w:bCs/>
                <w:color w:val="000000"/>
                <w:szCs w:val="21"/>
              </w:rPr>
              <w:t>经营范围</w:t>
            </w:r>
          </w:p>
        </w:tc>
        <w:tc>
          <w:tcPr>
            <w:tcW w:w="4113" w:type="pct"/>
            <w:gridSpan w:val="9"/>
            <w:vAlign w:val="center"/>
          </w:tcPr>
          <w:p w14:paraId="3638CBC9">
            <w:pPr>
              <w:jc w:val="center"/>
              <w:rPr>
                <w:rFonts w:ascii="宋体" w:hAnsi="宋体" w:cs="Arial"/>
                <w:bCs/>
                <w:color w:val="000000"/>
                <w:szCs w:val="21"/>
              </w:rPr>
            </w:pPr>
          </w:p>
        </w:tc>
      </w:tr>
      <w:tr w14:paraId="5E45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vAlign w:val="center"/>
          </w:tcPr>
          <w:p w14:paraId="6284899D">
            <w:pPr>
              <w:jc w:val="center"/>
              <w:rPr>
                <w:rFonts w:ascii="宋体" w:hAnsi="宋体" w:cs="Arial"/>
                <w:bCs/>
                <w:color w:val="000000"/>
                <w:szCs w:val="21"/>
              </w:rPr>
            </w:pPr>
            <w:r>
              <w:rPr>
                <w:rFonts w:hint="eastAsia" w:ascii="宋体" w:hAnsi="宋体" w:cs="Arial"/>
                <w:bCs/>
                <w:color w:val="000000"/>
                <w:szCs w:val="21"/>
              </w:rPr>
              <w:t>备注</w:t>
            </w:r>
          </w:p>
        </w:tc>
        <w:tc>
          <w:tcPr>
            <w:tcW w:w="4113" w:type="pct"/>
            <w:gridSpan w:val="9"/>
            <w:vAlign w:val="center"/>
          </w:tcPr>
          <w:p w14:paraId="46A8A055">
            <w:pPr>
              <w:jc w:val="center"/>
              <w:rPr>
                <w:rFonts w:ascii="宋体" w:hAnsi="宋体" w:cs="Arial"/>
                <w:bCs/>
                <w:color w:val="000000"/>
                <w:szCs w:val="21"/>
              </w:rPr>
            </w:pPr>
          </w:p>
        </w:tc>
      </w:tr>
    </w:tbl>
    <w:p w14:paraId="1650E456">
      <w:pPr>
        <w:adjustRightInd w:val="0"/>
        <w:spacing w:line="400" w:lineRule="exact"/>
        <w:jc w:val="left"/>
        <w:rPr>
          <w:rFonts w:ascii="宋体" w:hAnsi="宋体"/>
          <w:sz w:val="24"/>
        </w:rPr>
      </w:pPr>
    </w:p>
    <w:p w14:paraId="6D6605C0">
      <w:pPr>
        <w:adjustRightInd w:val="0"/>
        <w:spacing w:line="400" w:lineRule="exact"/>
        <w:jc w:val="left"/>
        <w:rPr>
          <w:rFonts w:ascii="宋体" w:hAnsi="宋体"/>
          <w:sz w:val="24"/>
        </w:rPr>
      </w:pPr>
      <w:r>
        <w:rPr>
          <w:rFonts w:hint="eastAsia" w:ascii="宋体" w:hAnsi="宋体"/>
          <w:sz w:val="24"/>
        </w:rPr>
        <w:t>供应商名称：XXX（盖单位公章）</w:t>
      </w:r>
    </w:p>
    <w:p w14:paraId="76BBB8FC">
      <w:pPr>
        <w:adjustRightInd w:val="0"/>
        <w:spacing w:line="400" w:lineRule="exact"/>
        <w:jc w:val="left"/>
        <w:rPr>
          <w:bCs/>
          <w:sz w:val="24"/>
        </w:rPr>
      </w:pPr>
      <w:r>
        <w:rPr>
          <w:rFonts w:hint="eastAsia"/>
          <w:bCs/>
          <w:sz w:val="24"/>
        </w:rPr>
        <w:t>法定代表人或授权代表（签字或盖章）：XXX</w:t>
      </w:r>
    </w:p>
    <w:p w14:paraId="62699835">
      <w:pPr>
        <w:adjustRightInd w:val="0"/>
        <w:spacing w:line="400" w:lineRule="exact"/>
        <w:jc w:val="left"/>
        <w:rPr>
          <w:bCs/>
          <w:sz w:val="24"/>
        </w:rPr>
      </w:pPr>
      <w:r>
        <w:rPr>
          <w:rFonts w:hint="eastAsia"/>
          <w:bCs/>
          <w:sz w:val="24"/>
        </w:rPr>
        <w:t>日  期：XXX年XXX月XXX日</w:t>
      </w:r>
    </w:p>
    <w:p w14:paraId="5BBE0664">
      <w:pPr>
        <w:adjustRightInd w:val="0"/>
        <w:spacing w:line="400" w:lineRule="exact"/>
        <w:jc w:val="left"/>
        <w:rPr>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17781029">
      <w:pPr>
        <w:spacing w:line="400" w:lineRule="exact"/>
        <w:ind w:firstLine="640" w:firstLineChars="200"/>
        <w:jc w:val="center"/>
        <w:rPr>
          <w:rFonts w:ascii="宋体" w:hAnsi="宋体"/>
          <w:b/>
          <w:color w:val="000000"/>
          <w:sz w:val="32"/>
          <w:szCs w:val="32"/>
        </w:rPr>
      </w:pPr>
      <w:r>
        <w:rPr>
          <w:rFonts w:hint="eastAsia" w:ascii="宋体" w:hAnsi="宋体"/>
          <w:b/>
          <w:color w:val="000000"/>
          <w:sz w:val="32"/>
          <w:szCs w:val="32"/>
        </w:rPr>
        <w:t>四、承诺函</w:t>
      </w:r>
    </w:p>
    <w:p w14:paraId="4CD2F071">
      <w:pPr>
        <w:spacing w:line="360" w:lineRule="exact"/>
        <w:ind w:left="509" w:leftChars="14" w:hanging="480" w:hangingChars="200"/>
        <w:rPr>
          <w:rFonts w:ascii="宋体" w:hAnsi="宋体"/>
          <w:sz w:val="24"/>
        </w:rPr>
      </w:pPr>
      <w:r>
        <w:rPr>
          <w:rFonts w:hint="eastAsia" w:ascii="宋体" w:hAnsi="宋体"/>
          <w:sz w:val="24"/>
        </w:rPr>
        <w:t>邻水县人民医院：</w:t>
      </w:r>
    </w:p>
    <w:p w14:paraId="283B2A73">
      <w:pPr>
        <w:spacing w:line="360" w:lineRule="exact"/>
        <w:ind w:firstLine="480" w:firstLineChars="200"/>
        <w:rPr>
          <w:rFonts w:ascii="宋体" w:hAnsi="宋体"/>
          <w:sz w:val="24"/>
        </w:rPr>
      </w:pPr>
      <w:r>
        <w:rPr>
          <w:rFonts w:hint="eastAsia" w:ascii="宋体" w:hAnsi="宋体"/>
          <w:sz w:val="24"/>
        </w:rPr>
        <w:t>我公司作为本次采购项目的投标人，根据招标文件要求，现郑重承诺如下：</w:t>
      </w:r>
    </w:p>
    <w:p w14:paraId="58566512">
      <w:pPr>
        <w:spacing w:line="360" w:lineRule="exact"/>
        <w:ind w:firstLine="480" w:firstLineChars="200"/>
        <w:rPr>
          <w:rFonts w:ascii="宋体" w:hAnsi="宋体"/>
          <w:sz w:val="24"/>
        </w:rPr>
      </w:pPr>
      <w:r>
        <w:rPr>
          <w:rFonts w:hint="eastAsia" w:ascii="宋体" w:hAnsi="宋体"/>
          <w:sz w:val="24"/>
        </w:rPr>
        <w:t>一、具备《中华人民共和国政府采购法》第二十二条第一款和本项目规定的条件：</w:t>
      </w:r>
    </w:p>
    <w:p w14:paraId="01FCD169">
      <w:pPr>
        <w:spacing w:line="360" w:lineRule="exact"/>
        <w:ind w:firstLine="480" w:firstLineChars="200"/>
        <w:rPr>
          <w:rFonts w:ascii="宋体" w:hAnsi="宋体"/>
          <w:sz w:val="24"/>
        </w:rPr>
      </w:pPr>
      <w:r>
        <w:rPr>
          <w:rFonts w:hint="eastAsia" w:ascii="宋体" w:hAnsi="宋体"/>
          <w:sz w:val="24"/>
        </w:rPr>
        <w:t xml:space="preserve">（一）具有独立承担民事责任的能力； </w:t>
      </w:r>
    </w:p>
    <w:p w14:paraId="73A88DB7">
      <w:pPr>
        <w:spacing w:line="360" w:lineRule="exact"/>
        <w:ind w:firstLine="480" w:firstLineChars="200"/>
        <w:rPr>
          <w:rFonts w:ascii="宋体" w:hAnsi="宋体"/>
          <w:sz w:val="24"/>
        </w:rPr>
      </w:pPr>
      <w:r>
        <w:rPr>
          <w:rFonts w:hint="eastAsia" w:ascii="宋体" w:hAnsi="宋体"/>
          <w:sz w:val="24"/>
        </w:rPr>
        <w:t xml:space="preserve">（二）具有良好的商业信誉和健全的财务会计制度； </w:t>
      </w:r>
    </w:p>
    <w:p w14:paraId="764B5056">
      <w:pPr>
        <w:spacing w:line="360" w:lineRule="exact"/>
        <w:ind w:firstLine="480" w:firstLineChars="200"/>
        <w:rPr>
          <w:rFonts w:ascii="宋体" w:hAnsi="宋体"/>
          <w:sz w:val="24"/>
        </w:rPr>
      </w:pPr>
      <w:r>
        <w:rPr>
          <w:rFonts w:hint="eastAsia" w:ascii="宋体" w:hAnsi="宋体"/>
          <w:sz w:val="24"/>
        </w:rPr>
        <w:t xml:space="preserve">（三）具有履行合同所必需的设备和专业技术能力； </w:t>
      </w:r>
    </w:p>
    <w:p w14:paraId="478F94F0">
      <w:pPr>
        <w:spacing w:line="360" w:lineRule="exact"/>
        <w:ind w:firstLine="480" w:firstLineChars="200"/>
        <w:rPr>
          <w:rFonts w:ascii="宋体" w:hAnsi="宋体"/>
          <w:sz w:val="24"/>
        </w:rPr>
      </w:pPr>
      <w:r>
        <w:rPr>
          <w:rFonts w:hint="eastAsia" w:ascii="宋体" w:hAnsi="宋体"/>
          <w:sz w:val="24"/>
        </w:rPr>
        <w:t xml:space="preserve">（四）有依法缴纳税收和社会保障资金的良好记录； </w:t>
      </w:r>
    </w:p>
    <w:p w14:paraId="628C37CD">
      <w:pPr>
        <w:spacing w:line="360" w:lineRule="exact"/>
        <w:ind w:firstLine="480" w:firstLineChars="200"/>
        <w:rPr>
          <w:rFonts w:ascii="宋体" w:hAnsi="宋体"/>
          <w:sz w:val="24"/>
        </w:rPr>
      </w:pPr>
      <w:r>
        <w:rPr>
          <w:rFonts w:hint="eastAsia" w:ascii="宋体" w:hAnsi="宋体"/>
          <w:sz w:val="24"/>
        </w:rPr>
        <w:t>（五）参加政府采购活动前三年内，在经营活动中没有重大违法记录；</w:t>
      </w:r>
    </w:p>
    <w:p w14:paraId="16CCA8F1">
      <w:pPr>
        <w:spacing w:line="360" w:lineRule="exact"/>
        <w:ind w:firstLine="480" w:firstLineChars="200"/>
        <w:rPr>
          <w:rFonts w:ascii="宋体" w:hAnsi="宋体"/>
          <w:sz w:val="24"/>
        </w:rPr>
      </w:pPr>
      <w:r>
        <w:rPr>
          <w:rFonts w:hint="eastAsia" w:ascii="宋体" w:hAnsi="宋体"/>
          <w:sz w:val="24"/>
        </w:rPr>
        <w:t>（六）法律、行政法规规定的其他条件；</w:t>
      </w:r>
    </w:p>
    <w:p w14:paraId="52884B60">
      <w:pPr>
        <w:spacing w:line="360" w:lineRule="exact"/>
        <w:ind w:firstLine="480" w:firstLineChars="200"/>
        <w:rPr>
          <w:rFonts w:ascii="宋体" w:hAnsi="宋体"/>
          <w:sz w:val="24"/>
        </w:rPr>
      </w:pPr>
      <w:r>
        <w:rPr>
          <w:rFonts w:hint="eastAsia" w:ascii="宋体" w:hAnsi="宋体"/>
          <w:sz w:val="24"/>
        </w:rPr>
        <w:t>（七）根据采购项目提出的特殊条件。</w:t>
      </w:r>
    </w:p>
    <w:p w14:paraId="4FB67642">
      <w:pPr>
        <w:spacing w:line="360" w:lineRule="exact"/>
        <w:ind w:firstLine="480" w:firstLineChars="200"/>
        <w:rPr>
          <w:rFonts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462F21E">
      <w:pPr>
        <w:spacing w:line="360" w:lineRule="exact"/>
        <w:ind w:firstLine="480" w:firstLineChars="200"/>
        <w:rPr>
          <w:rFonts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7DB3FD43">
      <w:pPr>
        <w:spacing w:line="360" w:lineRule="exact"/>
        <w:ind w:firstLine="480" w:firstLineChars="200"/>
        <w:rPr>
          <w:rFonts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4A497EF5">
      <w:pPr>
        <w:spacing w:line="360" w:lineRule="exact"/>
        <w:ind w:firstLine="480" w:firstLineChars="200"/>
        <w:rPr>
          <w:rFonts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00A99C98">
      <w:pPr>
        <w:spacing w:line="360" w:lineRule="exact"/>
        <w:ind w:firstLine="480" w:firstLineChars="200"/>
        <w:rPr>
          <w:rFonts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3831B68F">
      <w:pPr>
        <w:spacing w:line="360" w:lineRule="exact"/>
        <w:ind w:firstLine="480" w:firstLineChars="200"/>
        <w:rPr>
          <w:rFonts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056B2A25">
      <w:pPr>
        <w:spacing w:line="360" w:lineRule="exact"/>
        <w:ind w:firstLine="480" w:firstLineChars="200"/>
        <w:rPr>
          <w:rFonts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本项目响应文件有效期为递交响应文件截止之日起90天。</w:t>
      </w:r>
    </w:p>
    <w:p w14:paraId="514ABB07">
      <w:pPr>
        <w:spacing w:line="360" w:lineRule="exact"/>
        <w:ind w:firstLine="480" w:firstLineChars="200"/>
        <w:rPr>
          <w:rFonts w:ascii="宋体" w:hAnsi="宋体"/>
          <w:sz w:val="24"/>
        </w:rPr>
      </w:pPr>
      <w:r>
        <w:rPr>
          <w:rFonts w:hint="eastAsia" w:ascii="宋体" w:hAnsi="宋体"/>
          <w:sz w:val="24"/>
        </w:rPr>
        <w:t>九、我单位及现任法定代表人、主要负责人近三年内无行贿犯罪记录。</w:t>
      </w:r>
    </w:p>
    <w:p w14:paraId="32D52430">
      <w:pPr>
        <w:spacing w:line="360" w:lineRule="exact"/>
        <w:ind w:firstLine="480" w:firstLineChars="200"/>
        <w:rPr>
          <w:rFonts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5A34CC0">
      <w:pPr>
        <w:spacing w:line="360" w:lineRule="exact"/>
        <w:ind w:left="599" w:leftChars="57" w:hanging="480" w:hangingChars="200"/>
        <w:rPr>
          <w:rFonts w:ascii="宋体" w:hAnsi="宋体"/>
          <w:color w:val="000000"/>
          <w:sz w:val="24"/>
        </w:rPr>
      </w:pPr>
    </w:p>
    <w:p w14:paraId="2F28A970">
      <w:pPr>
        <w:spacing w:line="360" w:lineRule="exact"/>
        <w:ind w:left="599" w:leftChars="57" w:hanging="480" w:hangingChars="200"/>
        <w:rPr>
          <w:rFonts w:ascii="宋体" w:hAnsi="宋体"/>
          <w:sz w:val="24"/>
        </w:rPr>
      </w:pPr>
      <w:r>
        <w:rPr>
          <w:rFonts w:hint="eastAsia" w:ascii="宋体" w:hAnsi="宋体"/>
          <w:sz w:val="24"/>
        </w:rPr>
        <w:t>承诺人（投标人）名称：                          （签章）</w:t>
      </w:r>
    </w:p>
    <w:p w14:paraId="4906E8A8">
      <w:pPr>
        <w:spacing w:line="360" w:lineRule="exact"/>
        <w:ind w:left="599" w:leftChars="57" w:hanging="480" w:hangingChars="200"/>
        <w:rPr>
          <w:rFonts w:ascii="宋体" w:hAnsi="宋体"/>
          <w:sz w:val="24"/>
        </w:rPr>
      </w:pPr>
      <w:r>
        <w:rPr>
          <w:rFonts w:hint="eastAsia" w:ascii="宋体" w:hAnsi="宋体"/>
          <w:sz w:val="24"/>
        </w:rPr>
        <w:t>日期：</w:t>
      </w:r>
    </w:p>
    <w:p w14:paraId="79A6D20C">
      <w:pPr>
        <w:spacing w:line="360" w:lineRule="exact"/>
        <w:jc w:val="center"/>
        <w:rPr>
          <w:rFonts w:ascii="宋体" w:hAnsi="宋体"/>
          <w:b/>
          <w:sz w:val="24"/>
        </w:rPr>
      </w:pPr>
    </w:p>
    <w:p w14:paraId="2CC6D360">
      <w:pPr>
        <w:spacing w:line="360" w:lineRule="exact"/>
        <w:jc w:val="center"/>
        <w:rPr>
          <w:rFonts w:ascii="宋体" w:hAnsi="宋体"/>
          <w:b/>
          <w:sz w:val="24"/>
        </w:rPr>
      </w:pPr>
      <w:r>
        <w:rPr>
          <w:rFonts w:hint="eastAsia" w:ascii="宋体" w:hAnsi="宋体"/>
          <w:b/>
          <w:sz w:val="24"/>
        </w:rPr>
        <w:t>注：承诺函必须按照格式要求签字、签章，否则作无效响应处理。</w:t>
      </w:r>
    </w:p>
    <w:p w14:paraId="68438658">
      <w:pPr>
        <w:rPr>
          <w:rFonts w:ascii="宋体" w:hAnsi="宋体"/>
          <w:bCs/>
          <w:sz w:val="24"/>
        </w:rPr>
      </w:pPr>
    </w:p>
    <w:p w14:paraId="6560BF22">
      <w:pPr>
        <w:jc w:val="center"/>
        <w:rPr>
          <w:b/>
          <w:sz w:val="32"/>
          <w:szCs w:val="32"/>
        </w:rPr>
      </w:pPr>
      <w:r>
        <w:rPr>
          <w:rFonts w:hint="eastAsia"/>
          <w:b/>
          <w:sz w:val="32"/>
          <w:szCs w:val="32"/>
        </w:rPr>
        <w:t>五、报价函</w:t>
      </w:r>
    </w:p>
    <w:p w14:paraId="01C8159E">
      <w:pPr>
        <w:spacing w:line="360" w:lineRule="auto"/>
        <w:rPr>
          <w:rFonts w:ascii="宋体" w:hAnsi="宋体"/>
          <w:sz w:val="24"/>
        </w:rPr>
      </w:pPr>
    </w:p>
    <w:p w14:paraId="626204DA">
      <w:pPr>
        <w:spacing w:line="360" w:lineRule="auto"/>
        <w:rPr>
          <w:rFonts w:ascii="宋体" w:hAnsi="宋体"/>
          <w:sz w:val="24"/>
        </w:rPr>
      </w:pPr>
      <w:r>
        <w:rPr>
          <w:rFonts w:hint="eastAsia" w:ascii="宋体" w:hAnsi="宋体"/>
          <w:sz w:val="24"/>
        </w:rPr>
        <w:t>邻水县人民医院：</w:t>
      </w:r>
    </w:p>
    <w:p w14:paraId="3198065C">
      <w:pPr>
        <w:spacing w:line="400" w:lineRule="exact"/>
        <w:ind w:firstLine="480" w:firstLineChars="200"/>
        <w:jc w:val="left"/>
        <w:rPr>
          <w:rFonts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rPr>
        <w:t>招标文件</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），决定参加贵单位组织的本项目招标采购。</w:t>
      </w:r>
    </w:p>
    <w:p w14:paraId="55421510">
      <w:pPr>
        <w:spacing w:line="400" w:lineRule="exact"/>
        <w:ind w:firstLine="480" w:firstLineChars="200"/>
        <w:jc w:val="left"/>
        <w:rPr>
          <w:rFonts w:ascii="宋体" w:hAnsi="宋体"/>
          <w:sz w:val="24"/>
        </w:rPr>
      </w:pPr>
      <w:r>
        <w:rPr>
          <w:rFonts w:hint="eastAsia" w:ascii="宋体" w:hAnsi="宋体"/>
          <w:sz w:val="24"/>
        </w:rPr>
        <w:t>（二）我方自愿按照</w:t>
      </w:r>
      <w:r>
        <w:rPr>
          <w:rFonts w:hint="eastAsia" w:ascii="宋体" w:hAnsi="宋体"/>
          <w:bCs/>
          <w:sz w:val="24"/>
        </w:rPr>
        <w:t>招标文件</w:t>
      </w:r>
      <w:r>
        <w:rPr>
          <w:rFonts w:hint="eastAsia" w:ascii="宋体" w:hAnsi="宋体"/>
          <w:sz w:val="24"/>
        </w:rPr>
        <w:t>规定的各项要求向采购人提供所需货物/服务。</w:t>
      </w:r>
    </w:p>
    <w:p w14:paraId="30BC6437">
      <w:pPr>
        <w:spacing w:line="400" w:lineRule="exact"/>
        <w:ind w:firstLine="480" w:firstLineChars="200"/>
        <w:jc w:val="left"/>
        <w:rPr>
          <w:rFonts w:ascii="宋体" w:hAnsi="宋体"/>
          <w:sz w:val="24"/>
        </w:rPr>
      </w:pPr>
      <w:r>
        <w:rPr>
          <w:rFonts w:hint="eastAsia" w:ascii="宋体" w:hAnsi="宋体"/>
          <w:sz w:val="24"/>
        </w:rPr>
        <w:t>（三）一旦我方成交，我方将严格履行政府采购合同规定的责任和义务。</w:t>
      </w:r>
    </w:p>
    <w:p w14:paraId="67E93EF6">
      <w:pPr>
        <w:spacing w:line="400" w:lineRule="exact"/>
        <w:ind w:firstLine="480" w:firstLineChars="200"/>
        <w:jc w:val="left"/>
        <w:rPr>
          <w:rFonts w:ascii="宋体" w:hAnsi="宋体"/>
          <w:sz w:val="24"/>
        </w:rPr>
      </w:pPr>
      <w:r>
        <w:rPr>
          <w:rFonts w:hint="eastAsia" w:ascii="宋体" w:hAnsi="宋体"/>
          <w:sz w:val="24"/>
        </w:rPr>
        <w:t>（四）我方同意本</w:t>
      </w:r>
      <w:r>
        <w:rPr>
          <w:rFonts w:hint="eastAsia" w:ascii="宋体" w:hAnsi="宋体"/>
          <w:bCs/>
          <w:sz w:val="24"/>
        </w:rPr>
        <w:t>招标文件</w:t>
      </w:r>
      <w:r>
        <w:rPr>
          <w:rFonts w:hint="eastAsia" w:ascii="宋体" w:hAnsi="宋体"/>
          <w:sz w:val="24"/>
        </w:rPr>
        <w:t>依据《四川省政府采购当事人诚信管理办法》（川财采〔2015〕33号文件）对我方可能存在的失信行为进行惩戒。</w:t>
      </w:r>
    </w:p>
    <w:p w14:paraId="32426D01">
      <w:pPr>
        <w:spacing w:line="400" w:lineRule="exact"/>
        <w:ind w:firstLine="480" w:firstLineChars="200"/>
        <w:jc w:val="left"/>
        <w:rPr>
          <w:rFonts w:ascii="宋体" w:hAnsi="宋体"/>
          <w:sz w:val="24"/>
        </w:rPr>
      </w:pPr>
      <w:r>
        <w:rPr>
          <w:rFonts w:hint="eastAsia" w:ascii="宋体" w:hAnsi="宋体"/>
          <w:sz w:val="24"/>
        </w:rPr>
        <w:t>（五）我方为本项目提交的投标文件（资格证明文件和其他投标文件）正本1份，报价表一式1份，用于报价。</w:t>
      </w:r>
    </w:p>
    <w:p w14:paraId="5C5E0FE5">
      <w:pPr>
        <w:spacing w:line="400" w:lineRule="exact"/>
        <w:ind w:firstLine="480" w:firstLineChars="200"/>
        <w:jc w:val="left"/>
        <w:rPr>
          <w:rFonts w:ascii="宋体" w:hAnsi="宋体"/>
          <w:sz w:val="24"/>
        </w:rPr>
      </w:pPr>
      <w:r>
        <w:rPr>
          <w:rFonts w:hint="eastAsia" w:ascii="宋体" w:hAnsi="宋体"/>
          <w:sz w:val="24"/>
        </w:rPr>
        <w:t>（六）我方愿意提供贵单位可能另外要求的，与询价报价有关的文件资料，并保证我方已提供和将要提供的文件资料是真实、准确的。</w:t>
      </w:r>
    </w:p>
    <w:p w14:paraId="1487A2D7">
      <w:pPr>
        <w:spacing w:line="400" w:lineRule="exact"/>
        <w:ind w:firstLine="480" w:firstLineChars="200"/>
        <w:jc w:val="left"/>
        <w:rPr>
          <w:sz w:val="24"/>
        </w:rPr>
      </w:pPr>
      <w:r>
        <w:rPr>
          <w:rFonts w:hint="eastAsia" w:ascii="宋体" w:hAnsi="宋体"/>
          <w:sz w:val="24"/>
        </w:rPr>
        <w:t>（七）本次询价，我方投标文件及报价有效期为</w:t>
      </w:r>
      <w:r>
        <w:rPr>
          <w:rFonts w:hint="eastAsia" w:ascii="宋体" w:hAnsi="宋体"/>
          <w:bCs/>
          <w:sz w:val="24"/>
        </w:rPr>
        <w:t>招标文件</w:t>
      </w:r>
      <w:r>
        <w:rPr>
          <w:rFonts w:hint="eastAsia"/>
          <w:sz w:val="24"/>
        </w:rPr>
        <w:t>规定的起算之日起</w:t>
      </w:r>
      <w:r>
        <w:rPr>
          <w:rFonts w:hint="eastAsia" w:ascii="宋体" w:hAnsi="宋体"/>
          <w:sz w:val="24"/>
          <w:u w:val="single"/>
        </w:rPr>
        <w:t xml:space="preserve">  90 </w:t>
      </w:r>
      <w:r>
        <w:rPr>
          <w:rFonts w:hint="eastAsia"/>
          <w:sz w:val="24"/>
        </w:rPr>
        <w:t>天。</w:t>
      </w:r>
    </w:p>
    <w:p w14:paraId="5E63F649">
      <w:pPr>
        <w:adjustRightInd w:val="0"/>
        <w:spacing w:line="400" w:lineRule="exact"/>
        <w:ind w:firstLine="480" w:firstLineChars="200"/>
        <w:jc w:val="left"/>
        <w:rPr>
          <w:rFonts w:ascii="宋体" w:hAnsi="宋体"/>
          <w:sz w:val="24"/>
        </w:rPr>
      </w:pPr>
    </w:p>
    <w:p w14:paraId="3D849C83">
      <w:pPr>
        <w:adjustRightInd w:val="0"/>
        <w:spacing w:line="400" w:lineRule="exact"/>
        <w:ind w:firstLine="480" w:firstLineChars="200"/>
        <w:jc w:val="left"/>
        <w:rPr>
          <w:rFonts w:ascii="宋体" w:hAnsi="宋体"/>
          <w:sz w:val="24"/>
        </w:rPr>
      </w:pPr>
    </w:p>
    <w:p w14:paraId="46D8C181">
      <w:pPr>
        <w:adjustRightInd w:val="0"/>
        <w:spacing w:line="400" w:lineRule="exact"/>
        <w:ind w:firstLine="480" w:firstLineChars="200"/>
        <w:jc w:val="left"/>
        <w:rPr>
          <w:rFonts w:ascii="宋体" w:hAnsi="宋体"/>
          <w:sz w:val="24"/>
        </w:rPr>
      </w:pPr>
      <w:r>
        <w:rPr>
          <w:rFonts w:hint="eastAsia" w:ascii="宋体" w:hAnsi="宋体"/>
          <w:sz w:val="24"/>
        </w:rPr>
        <w:t>供应商名称：XXX（盖单位公章）</w:t>
      </w:r>
    </w:p>
    <w:p w14:paraId="4BA2C08C">
      <w:pPr>
        <w:spacing w:line="400" w:lineRule="exact"/>
        <w:ind w:firstLine="470" w:firstLineChars="196"/>
        <w:rPr>
          <w:rFonts w:ascii="宋体" w:hAnsi="宋体"/>
          <w:sz w:val="24"/>
        </w:rPr>
      </w:pPr>
      <w:r>
        <w:rPr>
          <w:rFonts w:hint="eastAsia" w:ascii="宋体" w:hAnsi="宋体"/>
          <w:sz w:val="24"/>
        </w:rPr>
        <w:t>法定代表人或授权代表（签字或盖章）：XXX</w:t>
      </w:r>
    </w:p>
    <w:p w14:paraId="2B3E30A0">
      <w:pPr>
        <w:spacing w:line="400" w:lineRule="exact"/>
        <w:ind w:firstLine="470" w:firstLineChars="196"/>
        <w:rPr>
          <w:rFonts w:ascii="宋体" w:hAnsi="宋体"/>
          <w:sz w:val="24"/>
        </w:rPr>
      </w:pPr>
      <w:r>
        <w:rPr>
          <w:rFonts w:hint="eastAsia" w:ascii="宋体" w:hAnsi="宋体"/>
          <w:sz w:val="24"/>
        </w:rPr>
        <w:t>通讯地址：XXX</w:t>
      </w:r>
    </w:p>
    <w:p w14:paraId="292205A3">
      <w:pPr>
        <w:spacing w:line="400" w:lineRule="exact"/>
        <w:ind w:firstLine="470" w:firstLineChars="196"/>
        <w:rPr>
          <w:rFonts w:ascii="宋体" w:hAnsi="宋体"/>
          <w:sz w:val="24"/>
        </w:rPr>
      </w:pPr>
      <w:r>
        <w:rPr>
          <w:rFonts w:hint="eastAsia" w:ascii="宋体" w:hAnsi="宋体"/>
          <w:sz w:val="24"/>
        </w:rPr>
        <w:t>邮政编码：XXX</w:t>
      </w:r>
    </w:p>
    <w:p w14:paraId="0C2C7DB4">
      <w:pPr>
        <w:spacing w:line="400" w:lineRule="exact"/>
        <w:ind w:firstLine="470" w:firstLineChars="196"/>
        <w:rPr>
          <w:rFonts w:ascii="宋体" w:hAnsi="宋体"/>
          <w:sz w:val="24"/>
        </w:rPr>
      </w:pPr>
      <w:r>
        <w:rPr>
          <w:rFonts w:hint="eastAsia" w:ascii="宋体" w:hAnsi="宋体"/>
          <w:sz w:val="24"/>
        </w:rPr>
        <w:t>联系电话：XXX</w:t>
      </w:r>
    </w:p>
    <w:p w14:paraId="70134F97">
      <w:pPr>
        <w:spacing w:line="400" w:lineRule="exact"/>
        <w:ind w:firstLine="470" w:firstLineChars="196"/>
        <w:rPr>
          <w:rFonts w:ascii="宋体" w:hAnsi="宋体"/>
          <w:sz w:val="24"/>
        </w:rPr>
      </w:pPr>
      <w:r>
        <w:rPr>
          <w:rFonts w:hint="eastAsia" w:ascii="宋体" w:hAnsi="宋体"/>
          <w:sz w:val="24"/>
        </w:rPr>
        <w:t>传    真：XXX</w:t>
      </w:r>
    </w:p>
    <w:p w14:paraId="127C6442">
      <w:pPr>
        <w:spacing w:line="400" w:lineRule="exact"/>
        <w:ind w:firstLine="470" w:firstLineChars="196"/>
        <w:rPr>
          <w:sz w:val="24"/>
        </w:rPr>
      </w:pPr>
      <w:r>
        <w:rPr>
          <w:rFonts w:hint="eastAsia" w:ascii="宋体" w:hAnsi="宋体"/>
          <w:sz w:val="24"/>
        </w:rPr>
        <w:t>日    期：XXX年XXX月XXX日</w:t>
      </w:r>
    </w:p>
    <w:p w14:paraId="100DA853">
      <w:pPr>
        <w:spacing w:line="400" w:lineRule="exact"/>
        <w:jc w:val="center"/>
        <w:rPr>
          <w:rFonts w:ascii="宋体" w:hAnsi="宋体"/>
          <w:sz w:val="24"/>
        </w:rPr>
      </w:pPr>
    </w:p>
    <w:p w14:paraId="377D2449">
      <w:pPr>
        <w:spacing w:line="400" w:lineRule="exact"/>
        <w:rPr>
          <w:b/>
          <w:sz w:val="32"/>
          <w:szCs w:val="32"/>
        </w:rPr>
      </w:pPr>
    </w:p>
    <w:p w14:paraId="709FED5B">
      <w:pPr>
        <w:rPr>
          <w:sz w:val="36"/>
          <w:szCs w:val="36"/>
        </w:rPr>
      </w:pPr>
    </w:p>
    <w:p w14:paraId="3FE333FE">
      <w:pPr>
        <w:rPr>
          <w:sz w:val="36"/>
          <w:szCs w:val="36"/>
        </w:rPr>
      </w:pPr>
    </w:p>
    <w:p w14:paraId="2DD1CDCE">
      <w:pPr>
        <w:rPr>
          <w:sz w:val="36"/>
          <w:szCs w:val="36"/>
        </w:rPr>
      </w:pPr>
    </w:p>
    <w:p w14:paraId="30E3A09E">
      <w:pPr>
        <w:rPr>
          <w:sz w:val="36"/>
          <w:szCs w:val="36"/>
        </w:rPr>
      </w:pPr>
    </w:p>
    <w:p w14:paraId="48FFC12C">
      <w:pPr>
        <w:rPr>
          <w:sz w:val="36"/>
          <w:szCs w:val="36"/>
        </w:rPr>
      </w:pPr>
    </w:p>
    <w:p w14:paraId="013A12E0">
      <w:pPr>
        <w:pStyle w:val="3"/>
        <w:sectPr>
          <w:pgSz w:w="11850" w:h="16783"/>
          <w:pgMar w:top="1440" w:right="1800" w:bottom="1440" w:left="1800" w:header="851" w:footer="992" w:gutter="0"/>
          <w:pgNumType w:fmt="numberInDash"/>
          <w:cols w:space="720" w:num="1"/>
          <w:titlePg/>
          <w:docGrid w:type="linesAndChars" w:linePitch="312" w:charSpace="0"/>
        </w:sectPr>
      </w:pPr>
    </w:p>
    <w:p w14:paraId="0BB1A3AE">
      <w:pPr>
        <w:numPr>
          <w:ilvl w:val="0"/>
          <w:numId w:val="3"/>
        </w:numPr>
        <w:jc w:val="center"/>
        <w:rPr>
          <w:b/>
          <w:sz w:val="32"/>
          <w:szCs w:val="32"/>
        </w:rPr>
      </w:pPr>
      <w:r>
        <w:rPr>
          <w:rFonts w:hint="eastAsia"/>
          <w:b/>
          <w:sz w:val="32"/>
          <w:szCs w:val="32"/>
        </w:rPr>
        <w:t>报价表</w:t>
      </w:r>
    </w:p>
    <w:p w14:paraId="3EBFCC19">
      <w:pPr>
        <w:rPr>
          <w:b/>
          <w:sz w:val="32"/>
          <w:szCs w:val="32"/>
        </w:rPr>
      </w:pPr>
    </w:p>
    <w:p w14:paraId="3D243585">
      <w:pPr>
        <w:jc w:val="left"/>
        <w:rPr>
          <w:szCs w:val="21"/>
        </w:rPr>
      </w:pPr>
      <w:r>
        <w:rPr>
          <w:rFonts w:hint="eastAsia"/>
          <w:szCs w:val="21"/>
        </w:rPr>
        <w:t>项目编号：</w:t>
      </w:r>
    </w:p>
    <w:p w14:paraId="43C8A690">
      <w:pPr>
        <w:jc w:val="left"/>
        <w:rPr>
          <w:szCs w:val="21"/>
        </w:rPr>
      </w:pPr>
    </w:p>
    <w:tbl>
      <w:tblPr>
        <w:tblStyle w:val="9"/>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3300"/>
        <w:gridCol w:w="800"/>
        <w:gridCol w:w="725"/>
        <w:gridCol w:w="1263"/>
        <w:gridCol w:w="1262"/>
        <w:gridCol w:w="1277"/>
      </w:tblGrid>
      <w:tr w14:paraId="391F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78" w:type="dxa"/>
            <w:vAlign w:val="center"/>
          </w:tcPr>
          <w:p w14:paraId="69087FAB">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序号</w:t>
            </w:r>
          </w:p>
        </w:tc>
        <w:tc>
          <w:tcPr>
            <w:tcW w:w="3300" w:type="dxa"/>
            <w:vAlign w:val="center"/>
          </w:tcPr>
          <w:p w14:paraId="0930C8F3">
            <w:pPr>
              <w:spacing w:line="300" w:lineRule="exact"/>
              <w:jc w:val="center"/>
              <w:rPr>
                <w:rFonts w:ascii="Times New Roman" w:hAnsi="Times New Roman" w:eastAsia="方正仿宋_GBK" w:cs="Times New Roman"/>
                <w:sz w:val="24"/>
              </w:rPr>
            </w:pPr>
            <w:r>
              <w:rPr>
                <w:rFonts w:ascii="Times New Roman" w:hAnsi="Times New Roman" w:eastAsia="方正仿宋_GBK" w:cs="Times New Roman"/>
                <w:sz w:val="24"/>
              </w:rPr>
              <w:t>名称</w:t>
            </w:r>
          </w:p>
        </w:tc>
        <w:tc>
          <w:tcPr>
            <w:tcW w:w="800" w:type="dxa"/>
          </w:tcPr>
          <w:p w14:paraId="54C51A17">
            <w:pPr>
              <w:overflowPunct w:val="0"/>
              <w:adjustRightInd w:val="0"/>
              <w:snapToGrid w:val="0"/>
              <w:spacing w:line="580" w:lineRule="exact"/>
              <w:jc w:val="center"/>
              <w:rPr>
                <w:rFonts w:ascii="Times New Roman" w:hAnsi="Times New Roman" w:cs="Times New Roman"/>
                <w:sz w:val="20"/>
                <w:szCs w:val="22"/>
              </w:rPr>
            </w:pPr>
            <w:r>
              <w:rPr>
                <w:rFonts w:hint="eastAsia" w:ascii="Times New Roman" w:hAnsi="Times New Roman" w:eastAsia="方正仿宋_GBK" w:cs="Times New Roman"/>
                <w:sz w:val="24"/>
              </w:rPr>
              <w:t>单位</w:t>
            </w:r>
          </w:p>
        </w:tc>
        <w:tc>
          <w:tcPr>
            <w:tcW w:w="725" w:type="dxa"/>
          </w:tcPr>
          <w:p w14:paraId="3780B4DE">
            <w:pPr>
              <w:overflowPunct w:val="0"/>
              <w:adjustRightInd w:val="0"/>
              <w:snapToGrid w:val="0"/>
              <w:spacing w:line="5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数量</w:t>
            </w:r>
          </w:p>
        </w:tc>
        <w:tc>
          <w:tcPr>
            <w:tcW w:w="1263" w:type="dxa"/>
            <w:vAlign w:val="center"/>
          </w:tcPr>
          <w:p w14:paraId="19B0BB02">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单价（元）</w:t>
            </w:r>
          </w:p>
        </w:tc>
        <w:tc>
          <w:tcPr>
            <w:tcW w:w="1262" w:type="dxa"/>
            <w:vAlign w:val="center"/>
          </w:tcPr>
          <w:p w14:paraId="657E69E3">
            <w:pPr>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金额</w:t>
            </w:r>
            <w:r>
              <w:rPr>
                <w:rFonts w:ascii="Times New Roman" w:hAnsi="Times New Roman" w:eastAsia="方正仿宋_GBK" w:cs="Times New Roman"/>
                <w:sz w:val="24"/>
              </w:rPr>
              <w:t>（元）</w:t>
            </w:r>
          </w:p>
        </w:tc>
        <w:tc>
          <w:tcPr>
            <w:tcW w:w="1277" w:type="dxa"/>
            <w:vAlign w:val="center"/>
          </w:tcPr>
          <w:p w14:paraId="35BB6245">
            <w:pPr>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备注</w:t>
            </w:r>
          </w:p>
        </w:tc>
      </w:tr>
      <w:tr w14:paraId="3356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78" w:type="dxa"/>
            <w:shd w:val="clear" w:color="auto" w:fill="auto"/>
            <w:vAlign w:val="center"/>
          </w:tcPr>
          <w:p w14:paraId="15916780">
            <w:pPr>
              <w:spacing w:line="4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1</w:t>
            </w:r>
          </w:p>
        </w:tc>
        <w:tc>
          <w:tcPr>
            <w:tcW w:w="3300" w:type="dxa"/>
            <w:shd w:val="clear" w:color="auto" w:fill="FFFFFF"/>
            <w:vAlign w:val="center"/>
          </w:tcPr>
          <w:p w14:paraId="22A9935E">
            <w:pPr>
              <w:jc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邻水县人民医院食堂外包服务</w:t>
            </w:r>
          </w:p>
        </w:tc>
        <w:tc>
          <w:tcPr>
            <w:tcW w:w="800" w:type="dxa"/>
            <w:shd w:val="clear" w:color="auto" w:fill="FFFFFF"/>
            <w:vAlign w:val="center"/>
          </w:tcPr>
          <w:p w14:paraId="65B4A4D1">
            <w:pPr>
              <w:widowControl/>
              <w:jc w:val="center"/>
              <w:textAlignment w:val="center"/>
              <w:rPr>
                <w:rFonts w:hint="eastAsia" w:ascii="Times New Roman" w:hAnsi="Times New Roman" w:eastAsia="方正仿宋_GBK" w:cs="Times New Roman"/>
                <w:sz w:val="22"/>
                <w:szCs w:val="22"/>
                <w:lang w:eastAsia="zh-CN"/>
              </w:rPr>
            </w:pPr>
            <w:r>
              <w:rPr>
                <w:rFonts w:hint="eastAsia" w:ascii="Times New Roman" w:hAnsi="Times New Roman" w:eastAsia="方正仿宋_GBK" w:cs="Times New Roman"/>
                <w:sz w:val="22"/>
                <w:szCs w:val="22"/>
                <w:lang w:eastAsia="zh-CN"/>
              </w:rPr>
              <w:t>年</w:t>
            </w:r>
          </w:p>
        </w:tc>
        <w:tc>
          <w:tcPr>
            <w:tcW w:w="725" w:type="dxa"/>
            <w:shd w:val="clear" w:color="auto" w:fill="FFFFFF"/>
            <w:vAlign w:val="center"/>
          </w:tcPr>
          <w:p w14:paraId="377226A2">
            <w:pPr>
              <w:widowControl/>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c>
          <w:tcPr>
            <w:tcW w:w="1263" w:type="dxa"/>
            <w:shd w:val="clear" w:color="auto" w:fill="FFFFFF"/>
            <w:vAlign w:val="center"/>
          </w:tcPr>
          <w:p w14:paraId="6AE45B05">
            <w:pPr>
              <w:jc w:val="center"/>
              <w:rPr>
                <w:rFonts w:ascii="Times New Roman" w:hAnsi="Times New Roman" w:eastAsia="宋体" w:cs="Times New Roman"/>
                <w:color w:val="000000"/>
                <w:sz w:val="24"/>
              </w:rPr>
            </w:pPr>
          </w:p>
        </w:tc>
        <w:tc>
          <w:tcPr>
            <w:tcW w:w="1262" w:type="dxa"/>
            <w:shd w:val="clear" w:color="auto" w:fill="FFFFFF"/>
            <w:vAlign w:val="center"/>
          </w:tcPr>
          <w:p w14:paraId="4A0B0CB3">
            <w:pPr>
              <w:jc w:val="center"/>
              <w:rPr>
                <w:rFonts w:ascii="Times New Roman" w:hAnsi="Times New Roman" w:eastAsia="宋体" w:cs="Times New Roman"/>
                <w:color w:val="000000"/>
                <w:sz w:val="24"/>
              </w:rPr>
            </w:pPr>
          </w:p>
        </w:tc>
        <w:tc>
          <w:tcPr>
            <w:tcW w:w="1277" w:type="dxa"/>
            <w:shd w:val="clear" w:color="auto" w:fill="FFFFFF"/>
            <w:vAlign w:val="center"/>
          </w:tcPr>
          <w:p w14:paraId="4F8C0604">
            <w:pPr>
              <w:jc w:val="center"/>
              <w:rPr>
                <w:rFonts w:ascii="Times New Roman" w:hAnsi="Times New Roman" w:eastAsia="宋体" w:cs="Times New Roman"/>
                <w:color w:val="000000"/>
                <w:sz w:val="24"/>
              </w:rPr>
            </w:pPr>
          </w:p>
        </w:tc>
      </w:tr>
      <w:tr w14:paraId="4F1C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78" w:type="dxa"/>
            <w:shd w:val="clear" w:color="auto" w:fill="auto"/>
            <w:vAlign w:val="center"/>
          </w:tcPr>
          <w:p w14:paraId="71306D85">
            <w:pPr>
              <w:spacing w:line="440" w:lineRule="exact"/>
              <w:jc w:val="center"/>
              <w:rPr>
                <w:rFonts w:ascii="Times New Roman" w:hAnsi="Times New Roman" w:eastAsia="方正仿宋_GBK" w:cs="Times New Roman"/>
                <w:sz w:val="24"/>
              </w:rPr>
            </w:pPr>
          </w:p>
        </w:tc>
        <w:tc>
          <w:tcPr>
            <w:tcW w:w="3300" w:type="dxa"/>
            <w:shd w:val="clear" w:color="auto" w:fill="FFFFFF"/>
            <w:vAlign w:val="center"/>
          </w:tcPr>
          <w:p w14:paraId="452024AB">
            <w:pPr>
              <w:jc w:val="center"/>
              <w:rPr>
                <w:rFonts w:ascii="Times New Roman" w:hAnsi="Times New Roman" w:eastAsia="宋体" w:cs="Times New Roman"/>
                <w:color w:val="000000"/>
                <w:sz w:val="22"/>
                <w:szCs w:val="22"/>
              </w:rPr>
            </w:pPr>
          </w:p>
        </w:tc>
        <w:tc>
          <w:tcPr>
            <w:tcW w:w="800" w:type="dxa"/>
            <w:shd w:val="clear" w:color="auto" w:fill="FFFFFF"/>
            <w:vAlign w:val="center"/>
          </w:tcPr>
          <w:p w14:paraId="3A4AF5F3">
            <w:pPr>
              <w:widowControl/>
              <w:jc w:val="center"/>
              <w:textAlignment w:val="center"/>
              <w:rPr>
                <w:rFonts w:ascii="Times New Roman" w:hAnsi="Times New Roman" w:eastAsia="方正仿宋_GBK" w:cs="Times New Roman"/>
                <w:sz w:val="22"/>
                <w:szCs w:val="22"/>
              </w:rPr>
            </w:pPr>
          </w:p>
        </w:tc>
        <w:tc>
          <w:tcPr>
            <w:tcW w:w="725" w:type="dxa"/>
            <w:shd w:val="clear" w:color="auto" w:fill="FFFFFF"/>
            <w:vAlign w:val="center"/>
          </w:tcPr>
          <w:p w14:paraId="051F8EE1">
            <w:pPr>
              <w:widowControl/>
              <w:jc w:val="center"/>
              <w:textAlignment w:val="center"/>
              <w:rPr>
                <w:rFonts w:ascii="宋体" w:hAnsi="宋体" w:eastAsia="宋体" w:cs="宋体"/>
                <w:sz w:val="22"/>
                <w:szCs w:val="22"/>
              </w:rPr>
            </w:pPr>
          </w:p>
        </w:tc>
        <w:tc>
          <w:tcPr>
            <w:tcW w:w="1263" w:type="dxa"/>
            <w:shd w:val="clear" w:color="auto" w:fill="FFFFFF"/>
            <w:vAlign w:val="center"/>
          </w:tcPr>
          <w:p w14:paraId="1D2F09C6">
            <w:pPr>
              <w:jc w:val="center"/>
              <w:rPr>
                <w:rFonts w:ascii="Times New Roman" w:hAnsi="Times New Roman" w:eastAsia="宋体" w:cs="Times New Roman"/>
                <w:color w:val="000000"/>
                <w:sz w:val="24"/>
              </w:rPr>
            </w:pPr>
          </w:p>
        </w:tc>
        <w:tc>
          <w:tcPr>
            <w:tcW w:w="1262" w:type="dxa"/>
            <w:shd w:val="clear" w:color="auto" w:fill="FFFFFF"/>
            <w:vAlign w:val="center"/>
          </w:tcPr>
          <w:p w14:paraId="071DA5B4">
            <w:pPr>
              <w:jc w:val="center"/>
              <w:rPr>
                <w:rFonts w:ascii="Times New Roman" w:hAnsi="Times New Roman" w:eastAsia="宋体" w:cs="Times New Roman"/>
                <w:color w:val="000000"/>
                <w:sz w:val="24"/>
              </w:rPr>
            </w:pPr>
          </w:p>
        </w:tc>
        <w:tc>
          <w:tcPr>
            <w:tcW w:w="1277" w:type="dxa"/>
            <w:shd w:val="clear" w:color="auto" w:fill="FFFFFF"/>
            <w:vAlign w:val="center"/>
          </w:tcPr>
          <w:p w14:paraId="7FC0106A">
            <w:pPr>
              <w:jc w:val="center"/>
              <w:rPr>
                <w:rFonts w:ascii="Times New Roman" w:hAnsi="Times New Roman" w:eastAsia="宋体" w:cs="Times New Roman"/>
                <w:color w:val="000000"/>
                <w:sz w:val="24"/>
              </w:rPr>
            </w:pPr>
          </w:p>
        </w:tc>
      </w:tr>
      <w:tr w14:paraId="7773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405" w:type="dxa"/>
            <w:gridSpan w:val="7"/>
            <w:vAlign w:val="center"/>
          </w:tcPr>
          <w:p w14:paraId="5F046694">
            <w:pPr>
              <w:widowControl/>
              <w:textAlignment w:val="center"/>
              <w:rPr>
                <w:rFonts w:cs="Times New Roman"/>
                <w:color w:val="000000"/>
                <w:sz w:val="28"/>
                <w:szCs w:val="28"/>
              </w:rPr>
            </w:pPr>
            <w:r>
              <w:rPr>
                <w:rFonts w:hint="eastAsia" w:cs="Times New Roman"/>
                <w:color w:val="000000"/>
                <w:sz w:val="24"/>
              </w:rPr>
              <w:t>合计：                   （大写：                          ）</w:t>
            </w:r>
          </w:p>
        </w:tc>
      </w:tr>
    </w:tbl>
    <w:p w14:paraId="4F04A016">
      <w:pPr>
        <w:jc w:val="left"/>
        <w:rPr>
          <w:szCs w:val="21"/>
        </w:rPr>
      </w:pPr>
    </w:p>
    <w:p w14:paraId="1745A348">
      <w:pPr>
        <w:ind w:left="643" w:hanging="642" w:hangingChars="287"/>
        <w:jc w:val="left"/>
        <w:rPr>
          <w:rFonts w:ascii="宋体" w:hAnsi="宋体"/>
          <w:sz w:val="24"/>
        </w:rPr>
      </w:pPr>
      <w:r>
        <w:rPr>
          <w:rFonts w:hint="eastAsia" w:ascii="宋体" w:hAnsi="宋体"/>
          <w:spacing w:val="-8"/>
          <w:sz w:val="24"/>
        </w:rPr>
        <w:t>注:</w:t>
      </w:r>
      <w:r>
        <w:rPr>
          <w:rFonts w:hint="eastAsia" w:ascii="宋体" w:hAnsi="宋体"/>
          <w:sz w:val="24"/>
        </w:rPr>
        <w:t xml:space="preserve">  </w:t>
      </w:r>
      <w:r>
        <w:rPr>
          <w:rFonts w:hint="eastAsia"/>
          <w:sz w:val="24"/>
        </w:rPr>
        <w:t xml:space="preserve">1. </w:t>
      </w:r>
      <w:r>
        <w:rPr>
          <w:rFonts w:hint="eastAsia" w:ascii="宋体" w:hAnsi="宋体"/>
          <w:color w:val="000000"/>
          <w:sz w:val="24"/>
        </w:rPr>
        <w:t>所有报价均用人民币表示,所报价即为履行合同的固定价格</w:t>
      </w:r>
      <w:r>
        <w:rPr>
          <w:rFonts w:hint="eastAsia"/>
          <w:sz w:val="24"/>
        </w:rPr>
        <w:t>。</w:t>
      </w:r>
    </w:p>
    <w:p w14:paraId="014A1651">
      <w:pPr>
        <w:ind w:firstLine="720" w:firstLineChars="300"/>
        <w:rPr>
          <w:color w:val="000000"/>
          <w:sz w:val="24"/>
        </w:rPr>
      </w:pPr>
      <w:r>
        <w:rPr>
          <w:rFonts w:hint="eastAsia" w:ascii="宋体" w:hAnsi="宋体" w:cs="宋体"/>
          <w:sz w:val="24"/>
        </w:rPr>
        <w:t>2.</w:t>
      </w:r>
      <w:r>
        <w:rPr>
          <w:rFonts w:hint="eastAsia"/>
          <w:sz w:val="24"/>
        </w:rPr>
        <w:t>以上表格内容必须采用机打，禁止手填，否则作为无效投标处理</w:t>
      </w:r>
      <w:r>
        <w:rPr>
          <w:rFonts w:hint="eastAsia"/>
          <w:color w:val="000000"/>
          <w:sz w:val="24"/>
        </w:rPr>
        <w:t>。</w:t>
      </w:r>
    </w:p>
    <w:p w14:paraId="09802271">
      <w:pPr>
        <w:rPr>
          <w:sz w:val="32"/>
        </w:rPr>
      </w:pPr>
    </w:p>
    <w:p w14:paraId="03DF3292">
      <w:pPr>
        <w:adjustRightInd w:val="0"/>
        <w:spacing w:line="400" w:lineRule="exact"/>
        <w:ind w:firstLine="600" w:firstLineChars="250"/>
        <w:jc w:val="left"/>
        <w:rPr>
          <w:rFonts w:ascii="宋体" w:hAnsi="宋体"/>
          <w:sz w:val="24"/>
        </w:rPr>
      </w:pPr>
      <w:r>
        <w:rPr>
          <w:rFonts w:hint="eastAsia" w:ascii="宋体" w:hAnsi="宋体"/>
          <w:sz w:val="24"/>
        </w:rPr>
        <w:t>供应商名称：XXX（盖单位公章）</w:t>
      </w:r>
    </w:p>
    <w:p w14:paraId="03DE0117">
      <w:pPr>
        <w:ind w:firstLine="616" w:firstLineChars="257"/>
        <w:rPr>
          <w:sz w:val="24"/>
        </w:rPr>
      </w:pPr>
      <w:r>
        <w:rPr>
          <w:rFonts w:hint="eastAsia"/>
          <w:sz w:val="24"/>
        </w:rPr>
        <w:t>法定代表人或授权代表（签字或盖章）：XXX</w:t>
      </w:r>
    </w:p>
    <w:p w14:paraId="7F5E9666">
      <w:pPr>
        <w:ind w:firstLine="616" w:firstLineChars="257"/>
        <w:rPr>
          <w:sz w:val="24"/>
        </w:rPr>
      </w:pPr>
      <w:r>
        <w:rPr>
          <w:rFonts w:hint="eastAsia"/>
          <w:sz w:val="24"/>
        </w:rPr>
        <w:t xml:space="preserve">日      期：XXX年XXX月XXX日 </w:t>
      </w:r>
    </w:p>
    <w:p w14:paraId="6F9BA0DB">
      <w:pPr>
        <w:rPr>
          <w:sz w:val="28"/>
          <w:szCs w:val="28"/>
        </w:rPr>
        <w:sectPr>
          <w:footerReference r:id="rId3" w:type="default"/>
          <w:type w:val="continuous"/>
          <w:pgSz w:w="11850" w:h="16783"/>
          <w:pgMar w:top="1797" w:right="1440" w:bottom="1797" w:left="1440" w:header="720" w:footer="720" w:gutter="0"/>
          <w:pgNumType w:fmt="numberInDash"/>
          <w:cols w:space="720" w:num="1"/>
          <w:docGrid w:linePitch="312" w:charSpace="0"/>
        </w:sectPr>
      </w:pPr>
    </w:p>
    <w:p w14:paraId="5F48E62B">
      <w:pPr>
        <w:jc w:val="center"/>
        <w:rPr>
          <w:rFonts w:ascii="宋体" w:hAnsi="宋体"/>
          <w:b/>
          <w:bCs/>
          <w:sz w:val="32"/>
          <w:szCs w:val="32"/>
        </w:rPr>
      </w:pPr>
    </w:p>
    <w:p w14:paraId="605A17AE">
      <w:pPr>
        <w:jc w:val="center"/>
        <w:rPr>
          <w:rFonts w:ascii="宋体" w:hAnsi="宋体"/>
          <w:b/>
          <w:bCs/>
          <w:sz w:val="32"/>
          <w:szCs w:val="32"/>
        </w:rPr>
      </w:pPr>
    </w:p>
    <w:p w14:paraId="2748B0E2">
      <w:pPr>
        <w:jc w:val="center"/>
        <w:rPr>
          <w:rFonts w:ascii="宋体" w:hAnsi="宋体"/>
          <w:b/>
          <w:bCs/>
          <w:sz w:val="32"/>
          <w:szCs w:val="32"/>
        </w:rPr>
      </w:pPr>
    </w:p>
    <w:p w14:paraId="7852D7A5">
      <w:pPr>
        <w:jc w:val="center"/>
        <w:rPr>
          <w:rFonts w:ascii="宋体" w:hAnsi="宋体"/>
          <w:b/>
          <w:bCs/>
          <w:sz w:val="32"/>
          <w:szCs w:val="32"/>
        </w:rPr>
      </w:pPr>
    </w:p>
    <w:p w14:paraId="11B77A56">
      <w:pPr>
        <w:jc w:val="center"/>
        <w:rPr>
          <w:rFonts w:ascii="宋体" w:hAnsi="宋体"/>
          <w:b/>
          <w:bCs/>
          <w:sz w:val="32"/>
          <w:szCs w:val="32"/>
        </w:rPr>
      </w:pPr>
    </w:p>
    <w:p w14:paraId="5BABDA8B">
      <w:pPr>
        <w:jc w:val="center"/>
        <w:rPr>
          <w:rFonts w:ascii="宋体" w:hAnsi="宋体"/>
          <w:b/>
          <w:bCs/>
          <w:sz w:val="32"/>
          <w:szCs w:val="32"/>
        </w:rPr>
      </w:pPr>
    </w:p>
    <w:p w14:paraId="020E6810">
      <w:pPr>
        <w:pStyle w:val="3"/>
        <w:rPr>
          <w:rFonts w:ascii="宋体" w:hAnsi="宋体"/>
          <w:b/>
          <w:bCs/>
          <w:sz w:val="32"/>
          <w:szCs w:val="32"/>
        </w:rPr>
      </w:pPr>
    </w:p>
    <w:p w14:paraId="0BEEE8EC">
      <w:pPr>
        <w:pStyle w:val="4"/>
        <w:ind w:firstLine="210"/>
      </w:pPr>
    </w:p>
    <w:p w14:paraId="395DE083">
      <w:pPr>
        <w:pStyle w:val="4"/>
        <w:ind w:firstLine="210"/>
      </w:pPr>
    </w:p>
    <w:p w14:paraId="0A79092F">
      <w:pPr>
        <w:jc w:val="center"/>
        <w:rPr>
          <w:rFonts w:ascii="宋体" w:hAnsi="宋体"/>
          <w:b/>
          <w:bCs/>
          <w:sz w:val="32"/>
          <w:szCs w:val="32"/>
        </w:rPr>
      </w:pPr>
    </w:p>
    <w:p w14:paraId="4C367FF4">
      <w:pPr>
        <w:pStyle w:val="11"/>
        <w:ind w:firstLine="683"/>
        <w:rPr>
          <w:rFonts w:ascii="宋体" w:hAnsi="宋体"/>
          <w:b/>
          <w:bCs/>
          <w:sz w:val="32"/>
          <w:szCs w:val="32"/>
        </w:rPr>
      </w:pPr>
    </w:p>
    <w:p w14:paraId="239D1C46">
      <w:pPr>
        <w:pStyle w:val="11"/>
        <w:ind w:firstLine="683"/>
        <w:rPr>
          <w:rFonts w:ascii="宋体" w:hAnsi="宋体"/>
          <w:b/>
          <w:bCs/>
          <w:sz w:val="32"/>
          <w:szCs w:val="32"/>
        </w:rPr>
      </w:pPr>
    </w:p>
    <w:p w14:paraId="19656BF4">
      <w:pPr>
        <w:pStyle w:val="11"/>
        <w:ind w:firstLine="683"/>
        <w:rPr>
          <w:rFonts w:ascii="宋体" w:hAnsi="宋体"/>
          <w:b/>
          <w:bCs/>
          <w:sz w:val="32"/>
          <w:szCs w:val="32"/>
        </w:rPr>
      </w:pPr>
    </w:p>
    <w:p w14:paraId="3AD2A7CF">
      <w:pPr>
        <w:pStyle w:val="11"/>
        <w:ind w:firstLine="683"/>
        <w:rPr>
          <w:rFonts w:ascii="宋体" w:hAnsi="宋体"/>
          <w:b/>
          <w:bCs/>
          <w:sz w:val="32"/>
          <w:szCs w:val="32"/>
        </w:rPr>
      </w:pPr>
    </w:p>
    <w:p w14:paraId="3B145671">
      <w:pPr>
        <w:pStyle w:val="3"/>
      </w:pPr>
    </w:p>
    <w:p w14:paraId="09096482">
      <w:pPr>
        <w:jc w:val="center"/>
        <w:rPr>
          <w:rFonts w:ascii="宋体" w:hAnsi="宋体"/>
          <w:b/>
          <w:bCs/>
          <w:sz w:val="32"/>
          <w:szCs w:val="32"/>
        </w:rPr>
      </w:pPr>
    </w:p>
    <w:p w14:paraId="0D923143">
      <w:pPr>
        <w:jc w:val="center"/>
        <w:rPr>
          <w:rFonts w:ascii="宋体" w:hAnsi="宋体"/>
          <w:b/>
          <w:bCs/>
          <w:sz w:val="32"/>
          <w:szCs w:val="32"/>
        </w:rPr>
      </w:pPr>
      <w:r>
        <w:rPr>
          <w:rFonts w:hint="eastAsia" w:ascii="宋体" w:hAnsi="宋体"/>
          <w:b/>
          <w:bCs/>
          <w:sz w:val="32"/>
          <w:szCs w:val="32"/>
        </w:rPr>
        <w:t>七、技术要求应答表</w:t>
      </w:r>
    </w:p>
    <w:p w14:paraId="5218DEB5">
      <w:pPr>
        <w:pStyle w:val="7"/>
        <w:pBdr>
          <w:bottom w:val="none" w:color="auto" w:sz="0" w:space="0"/>
        </w:pBdr>
        <w:tabs>
          <w:tab w:val="clear" w:pos="4153"/>
          <w:tab w:val="clear" w:pos="8306"/>
        </w:tabs>
        <w:snapToGrid/>
        <w:jc w:val="both"/>
        <w:rPr>
          <w:rFonts w:ascii="宋体" w:hAnsi="宋体"/>
          <w:sz w:val="24"/>
          <w:szCs w:val="24"/>
        </w:rPr>
      </w:pPr>
    </w:p>
    <w:p w14:paraId="483D9BFF">
      <w:pPr>
        <w:pStyle w:val="7"/>
        <w:pBdr>
          <w:bottom w:val="none" w:color="auto" w:sz="0" w:space="0"/>
        </w:pBdr>
        <w:tabs>
          <w:tab w:val="clear" w:pos="4153"/>
          <w:tab w:val="clear" w:pos="8306"/>
        </w:tabs>
        <w:snapToGrid/>
        <w:ind w:firstLine="240" w:firstLineChars="100"/>
        <w:jc w:val="both"/>
        <w:rPr>
          <w:rFonts w:ascii="宋体" w:hAnsi="宋体"/>
          <w:sz w:val="24"/>
          <w:szCs w:val="24"/>
        </w:rPr>
      </w:pPr>
      <w:r>
        <w:rPr>
          <w:rFonts w:hint="eastAsia" w:ascii="宋体" w:hAnsi="宋体"/>
          <w:sz w:val="24"/>
          <w:szCs w:val="24"/>
        </w:rPr>
        <w:t>项目编号：</w:t>
      </w:r>
    </w:p>
    <w:tbl>
      <w:tblPr>
        <w:tblStyle w:val="8"/>
        <w:tblW w:w="8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3497"/>
        <w:gridCol w:w="3307"/>
      </w:tblGrid>
      <w:tr w14:paraId="29D9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63" w:type="dxa"/>
            <w:vAlign w:val="center"/>
          </w:tcPr>
          <w:p w14:paraId="792A0786">
            <w:pPr>
              <w:jc w:val="center"/>
              <w:rPr>
                <w:rFonts w:ascii="宋体" w:hAnsi="宋体" w:eastAsia="宋体" w:cs="宋体"/>
                <w:sz w:val="24"/>
              </w:rPr>
            </w:pPr>
            <w:r>
              <w:rPr>
                <w:rFonts w:hint="eastAsia" w:ascii="宋体" w:hAnsi="宋体" w:eastAsia="宋体" w:cs="宋体"/>
                <w:sz w:val="24"/>
              </w:rPr>
              <w:t>序号</w:t>
            </w:r>
          </w:p>
        </w:tc>
        <w:tc>
          <w:tcPr>
            <w:tcW w:w="3497" w:type="dxa"/>
            <w:vAlign w:val="center"/>
          </w:tcPr>
          <w:p w14:paraId="63AFE944">
            <w:pPr>
              <w:jc w:val="center"/>
              <w:rPr>
                <w:rFonts w:ascii="宋体" w:hAnsi="宋体" w:eastAsia="宋体" w:cs="宋体"/>
                <w:sz w:val="24"/>
              </w:rPr>
            </w:pPr>
            <w:r>
              <w:rPr>
                <w:rFonts w:hint="eastAsia" w:ascii="宋体" w:hAnsi="宋体" w:eastAsia="宋体" w:cs="宋体"/>
                <w:sz w:val="24"/>
              </w:rPr>
              <w:t>采购文件</w:t>
            </w:r>
          </w:p>
          <w:p w14:paraId="4F1E13A1">
            <w:pPr>
              <w:jc w:val="center"/>
              <w:rPr>
                <w:rFonts w:ascii="宋体" w:hAnsi="宋体" w:eastAsia="宋体" w:cs="宋体"/>
                <w:sz w:val="24"/>
              </w:rPr>
            </w:pPr>
            <w:r>
              <w:rPr>
                <w:rFonts w:hint="eastAsia" w:ascii="宋体" w:hAnsi="宋体" w:eastAsia="宋体" w:cs="宋体"/>
                <w:sz w:val="24"/>
              </w:rPr>
              <w:t>技术要求</w:t>
            </w:r>
          </w:p>
        </w:tc>
        <w:tc>
          <w:tcPr>
            <w:tcW w:w="3307" w:type="dxa"/>
            <w:vAlign w:val="center"/>
          </w:tcPr>
          <w:p w14:paraId="1980213D">
            <w:pPr>
              <w:jc w:val="center"/>
              <w:rPr>
                <w:rFonts w:ascii="宋体" w:hAnsi="宋体" w:eastAsia="宋体" w:cs="宋体"/>
                <w:sz w:val="24"/>
              </w:rPr>
            </w:pPr>
            <w:r>
              <w:rPr>
                <w:rFonts w:hint="eastAsia" w:ascii="宋体" w:hAnsi="宋体" w:eastAsia="宋体" w:cs="宋体"/>
                <w:sz w:val="24"/>
              </w:rPr>
              <w:t>投标文件</w:t>
            </w:r>
          </w:p>
          <w:p w14:paraId="2FFB92BB">
            <w:pPr>
              <w:jc w:val="center"/>
              <w:rPr>
                <w:rFonts w:ascii="宋体" w:hAnsi="宋体" w:eastAsia="宋体" w:cs="宋体"/>
                <w:sz w:val="24"/>
              </w:rPr>
            </w:pPr>
            <w:r>
              <w:rPr>
                <w:rFonts w:hint="eastAsia" w:ascii="宋体" w:hAnsi="宋体" w:eastAsia="宋体" w:cs="宋体"/>
                <w:sz w:val="24"/>
              </w:rPr>
              <w:t>技术响应</w:t>
            </w:r>
          </w:p>
        </w:tc>
      </w:tr>
      <w:tr w14:paraId="4045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63" w:type="dxa"/>
          </w:tcPr>
          <w:p w14:paraId="272A804D">
            <w:pPr>
              <w:jc w:val="center"/>
              <w:rPr>
                <w:rFonts w:ascii="宋体" w:hAnsi="宋体" w:eastAsia="宋体" w:cs="宋体"/>
                <w:sz w:val="24"/>
              </w:rPr>
            </w:pPr>
          </w:p>
        </w:tc>
        <w:tc>
          <w:tcPr>
            <w:tcW w:w="3497" w:type="dxa"/>
          </w:tcPr>
          <w:p w14:paraId="65307C1A">
            <w:pPr>
              <w:jc w:val="center"/>
              <w:rPr>
                <w:rFonts w:ascii="宋体" w:hAnsi="宋体" w:eastAsia="宋体" w:cs="宋体"/>
                <w:sz w:val="24"/>
              </w:rPr>
            </w:pPr>
          </w:p>
        </w:tc>
        <w:tc>
          <w:tcPr>
            <w:tcW w:w="3307" w:type="dxa"/>
          </w:tcPr>
          <w:p w14:paraId="057481D5">
            <w:pPr>
              <w:jc w:val="center"/>
              <w:rPr>
                <w:rFonts w:ascii="宋体" w:hAnsi="宋体" w:eastAsia="宋体" w:cs="宋体"/>
                <w:sz w:val="24"/>
              </w:rPr>
            </w:pPr>
          </w:p>
        </w:tc>
      </w:tr>
      <w:tr w14:paraId="29FB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563" w:type="dxa"/>
          </w:tcPr>
          <w:p w14:paraId="7E190622">
            <w:pPr>
              <w:jc w:val="center"/>
              <w:rPr>
                <w:rFonts w:ascii="宋体" w:hAnsi="宋体" w:eastAsia="宋体" w:cs="宋体"/>
                <w:sz w:val="24"/>
              </w:rPr>
            </w:pPr>
          </w:p>
        </w:tc>
        <w:tc>
          <w:tcPr>
            <w:tcW w:w="3497" w:type="dxa"/>
          </w:tcPr>
          <w:p w14:paraId="1FAA56FE">
            <w:pPr>
              <w:jc w:val="center"/>
              <w:rPr>
                <w:rFonts w:ascii="宋体" w:hAnsi="宋体" w:eastAsia="宋体" w:cs="宋体"/>
                <w:sz w:val="24"/>
              </w:rPr>
            </w:pPr>
          </w:p>
        </w:tc>
        <w:tc>
          <w:tcPr>
            <w:tcW w:w="3307" w:type="dxa"/>
          </w:tcPr>
          <w:p w14:paraId="33BB7E24">
            <w:pPr>
              <w:jc w:val="center"/>
              <w:rPr>
                <w:rFonts w:ascii="宋体" w:hAnsi="宋体" w:eastAsia="宋体" w:cs="宋体"/>
                <w:sz w:val="24"/>
              </w:rPr>
            </w:pPr>
          </w:p>
        </w:tc>
      </w:tr>
      <w:tr w14:paraId="0C3A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63" w:type="dxa"/>
          </w:tcPr>
          <w:p w14:paraId="525A02B8">
            <w:pPr>
              <w:jc w:val="center"/>
              <w:rPr>
                <w:rFonts w:ascii="宋体" w:hAnsi="宋体" w:eastAsia="宋体" w:cs="宋体"/>
                <w:sz w:val="24"/>
              </w:rPr>
            </w:pPr>
          </w:p>
        </w:tc>
        <w:tc>
          <w:tcPr>
            <w:tcW w:w="3497" w:type="dxa"/>
          </w:tcPr>
          <w:p w14:paraId="7998721C">
            <w:pPr>
              <w:jc w:val="center"/>
              <w:rPr>
                <w:rFonts w:ascii="宋体" w:hAnsi="宋体" w:eastAsia="宋体" w:cs="宋体"/>
                <w:sz w:val="24"/>
              </w:rPr>
            </w:pPr>
          </w:p>
        </w:tc>
        <w:tc>
          <w:tcPr>
            <w:tcW w:w="3307" w:type="dxa"/>
          </w:tcPr>
          <w:p w14:paraId="25DA84C3">
            <w:pPr>
              <w:jc w:val="center"/>
              <w:rPr>
                <w:rFonts w:ascii="宋体" w:hAnsi="宋体" w:eastAsia="宋体" w:cs="宋体"/>
                <w:sz w:val="24"/>
              </w:rPr>
            </w:pPr>
          </w:p>
        </w:tc>
      </w:tr>
      <w:tr w14:paraId="0B39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63" w:type="dxa"/>
          </w:tcPr>
          <w:p w14:paraId="0846A02D">
            <w:pPr>
              <w:jc w:val="center"/>
              <w:rPr>
                <w:rFonts w:ascii="宋体" w:hAnsi="宋体" w:eastAsia="宋体" w:cs="宋体"/>
                <w:sz w:val="24"/>
              </w:rPr>
            </w:pPr>
          </w:p>
        </w:tc>
        <w:tc>
          <w:tcPr>
            <w:tcW w:w="3497" w:type="dxa"/>
          </w:tcPr>
          <w:p w14:paraId="64512703">
            <w:pPr>
              <w:jc w:val="center"/>
              <w:rPr>
                <w:rFonts w:ascii="宋体" w:hAnsi="宋体" w:eastAsia="宋体" w:cs="宋体"/>
                <w:sz w:val="24"/>
              </w:rPr>
            </w:pPr>
          </w:p>
        </w:tc>
        <w:tc>
          <w:tcPr>
            <w:tcW w:w="3307" w:type="dxa"/>
          </w:tcPr>
          <w:p w14:paraId="5310B845">
            <w:pPr>
              <w:jc w:val="center"/>
              <w:rPr>
                <w:rFonts w:ascii="宋体" w:hAnsi="宋体" w:eastAsia="宋体" w:cs="宋体"/>
                <w:sz w:val="24"/>
              </w:rPr>
            </w:pPr>
          </w:p>
        </w:tc>
      </w:tr>
    </w:tbl>
    <w:p w14:paraId="4505AB5D">
      <w:pPr>
        <w:pStyle w:val="7"/>
        <w:pBdr>
          <w:bottom w:val="none" w:color="auto" w:sz="0" w:space="0"/>
        </w:pBdr>
        <w:tabs>
          <w:tab w:val="clear" w:pos="4153"/>
          <w:tab w:val="clear" w:pos="8306"/>
        </w:tabs>
        <w:snapToGrid/>
        <w:ind w:firstLine="240" w:firstLineChars="100"/>
        <w:jc w:val="both"/>
        <w:rPr>
          <w:rFonts w:ascii="宋体" w:hAnsi="宋体"/>
          <w:sz w:val="24"/>
          <w:szCs w:val="24"/>
        </w:rPr>
      </w:pPr>
    </w:p>
    <w:p w14:paraId="3A7FEA30">
      <w:pPr>
        <w:ind w:firstLine="480" w:firstLineChars="200"/>
        <w:rPr>
          <w:rFonts w:ascii="宋体" w:hAnsi="宋体"/>
          <w:b/>
          <w:sz w:val="24"/>
        </w:rPr>
      </w:pPr>
      <w:r>
        <w:rPr>
          <w:rFonts w:hint="eastAsia" w:ascii="宋体" w:hAnsi="宋体"/>
          <w:sz w:val="24"/>
        </w:rPr>
        <w:t>注：供应商必须根据</w:t>
      </w:r>
      <w:r>
        <w:rPr>
          <w:rFonts w:hint="eastAsia" w:ascii="宋体" w:hAnsi="宋体"/>
          <w:bCs/>
          <w:sz w:val="24"/>
        </w:rPr>
        <w:t>招标文件</w:t>
      </w:r>
      <w:r>
        <w:rPr>
          <w:rFonts w:hint="eastAsia" w:ascii="宋体" w:hAnsi="宋体"/>
          <w:sz w:val="24"/>
        </w:rPr>
        <w:t>要求据实逐条填写，不得虚假响应，虚假响应的，其投标文件无效并按规定追究其相关责任。</w:t>
      </w:r>
    </w:p>
    <w:p w14:paraId="5ABB1971">
      <w:pPr>
        <w:adjustRightInd w:val="0"/>
        <w:spacing w:line="400" w:lineRule="exact"/>
        <w:ind w:firstLine="480" w:firstLineChars="200"/>
        <w:jc w:val="left"/>
        <w:rPr>
          <w:rFonts w:ascii="宋体" w:hAnsi="宋体"/>
          <w:sz w:val="24"/>
        </w:rPr>
      </w:pPr>
    </w:p>
    <w:p w14:paraId="0435570A">
      <w:pPr>
        <w:adjustRightInd w:val="0"/>
        <w:spacing w:line="400" w:lineRule="exact"/>
        <w:ind w:firstLine="480" w:firstLineChars="200"/>
        <w:jc w:val="left"/>
        <w:rPr>
          <w:rFonts w:ascii="宋体" w:hAnsi="宋体"/>
          <w:sz w:val="24"/>
        </w:rPr>
      </w:pPr>
      <w:r>
        <w:rPr>
          <w:rFonts w:hint="eastAsia" w:ascii="宋体" w:hAnsi="宋体"/>
          <w:sz w:val="24"/>
        </w:rPr>
        <w:t>供应商名称：XXX（盖单位公章）</w:t>
      </w:r>
    </w:p>
    <w:p w14:paraId="2572B11F">
      <w:pPr>
        <w:adjustRightInd w:val="0"/>
        <w:spacing w:line="400" w:lineRule="exact"/>
        <w:ind w:firstLine="480" w:firstLineChars="200"/>
        <w:jc w:val="left"/>
        <w:rPr>
          <w:bCs/>
          <w:sz w:val="24"/>
        </w:rPr>
      </w:pPr>
      <w:r>
        <w:rPr>
          <w:rFonts w:hint="eastAsia"/>
          <w:bCs/>
          <w:sz w:val="24"/>
        </w:rPr>
        <w:t>法定代表人或授权代表（签字或盖章）：XXX</w:t>
      </w:r>
    </w:p>
    <w:p w14:paraId="264EE567">
      <w:pPr>
        <w:adjustRightInd w:val="0"/>
        <w:spacing w:line="400" w:lineRule="exact"/>
        <w:ind w:firstLine="540" w:firstLineChars="225"/>
        <w:jc w:val="left"/>
        <w:rPr>
          <w:bCs/>
          <w:sz w:val="24"/>
        </w:rPr>
      </w:pPr>
      <w:r>
        <w:rPr>
          <w:rFonts w:hint="eastAsia"/>
          <w:bCs/>
          <w:sz w:val="24"/>
        </w:rPr>
        <w:t>日  期</w:t>
      </w:r>
      <w:r>
        <w:rPr>
          <w:rFonts w:hint="eastAsia" w:ascii="宋体" w:hAnsi="宋体"/>
          <w:sz w:val="24"/>
        </w:rPr>
        <w:t>：</w:t>
      </w:r>
      <w:r>
        <w:rPr>
          <w:rFonts w:hint="eastAsia"/>
          <w:bCs/>
          <w:sz w:val="24"/>
        </w:rPr>
        <w:t>XXX年XXX月XXX日</w:t>
      </w:r>
    </w:p>
    <w:p w14:paraId="78C29A8C">
      <w:pPr>
        <w:spacing w:line="400" w:lineRule="exact"/>
        <w:rPr>
          <w:rFonts w:ascii="宋体" w:hAnsi="宋体"/>
        </w:rPr>
      </w:pPr>
    </w:p>
    <w:p w14:paraId="660768CA">
      <w:pPr>
        <w:spacing w:line="400" w:lineRule="exact"/>
        <w:rPr>
          <w:rFonts w:ascii="宋体" w:hAnsi="宋体"/>
        </w:rPr>
      </w:pPr>
    </w:p>
    <w:p w14:paraId="50B46C07">
      <w:pPr>
        <w:spacing w:line="400" w:lineRule="exact"/>
        <w:rPr>
          <w:rFonts w:ascii="宋体" w:hAnsi="宋体"/>
        </w:rPr>
      </w:pPr>
    </w:p>
    <w:p w14:paraId="4B3D2BB4">
      <w:pPr>
        <w:pStyle w:val="5"/>
        <w:tabs>
          <w:tab w:val="left" w:pos="0"/>
        </w:tabs>
        <w:spacing w:after="0" w:line="400" w:lineRule="exact"/>
      </w:pPr>
    </w:p>
    <w:p w14:paraId="1015B18E">
      <w:pPr>
        <w:pStyle w:val="5"/>
        <w:tabs>
          <w:tab w:val="left" w:pos="0"/>
        </w:tabs>
      </w:pPr>
    </w:p>
    <w:p w14:paraId="47176FE5">
      <w:pPr>
        <w:pStyle w:val="5"/>
        <w:tabs>
          <w:tab w:val="left" w:pos="0"/>
        </w:tabs>
      </w:pPr>
    </w:p>
    <w:p w14:paraId="656B4FFE">
      <w:pPr>
        <w:pStyle w:val="5"/>
        <w:tabs>
          <w:tab w:val="left" w:pos="0"/>
        </w:tabs>
      </w:pPr>
    </w:p>
    <w:p w14:paraId="44B2216D">
      <w:pPr>
        <w:pStyle w:val="5"/>
        <w:tabs>
          <w:tab w:val="left" w:pos="0"/>
        </w:tabs>
      </w:pPr>
    </w:p>
    <w:p w14:paraId="6A0283A1">
      <w:pPr>
        <w:pStyle w:val="5"/>
        <w:tabs>
          <w:tab w:val="left" w:pos="0"/>
        </w:tabs>
      </w:pPr>
    </w:p>
    <w:p w14:paraId="1AE876F5">
      <w:pPr>
        <w:pStyle w:val="5"/>
        <w:tabs>
          <w:tab w:val="left" w:pos="0"/>
        </w:tabs>
        <w:ind w:left="0" w:leftChars="0"/>
        <w:rPr>
          <w:b/>
          <w:sz w:val="32"/>
          <w:szCs w:val="32"/>
        </w:rPr>
      </w:pPr>
    </w:p>
    <w:p w14:paraId="14BD1E51">
      <w:pPr>
        <w:pStyle w:val="5"/>
        <w:tabs>
          <w:tab w:val="left" w:pos="0"/>
        </w:tabs>
        <w:jc w:val="center"/>
        <w:rPr>
          <w:b/>
          <w:sz w:val="32"/>
          <w:szCs w:val="32"/>
        </w:rPr>
      </w:pPr>
      <w:r>
        <w:rPr>
          <w:rFonts w:hint="eastAsia"/>
          <w:b/>
          <w:sz w:val="32"/>
          <w:szCs w:val="32"/>
        </w:rPr>
        <w:t>八、商务应答表</w:t>
      </w:r>
    </w:p>
    <w:p w14:paraId="62B4A062">
      <w:pPr>
        <w:pStyle w:val="7"/>
        <w:pBdr>
          <w:bottom w:val="none" w:color="auto" w:sz="0" w:space="0"/>
        </w:pBdr>
        <w:tabs>
          <w:tab w:val="clear" w:pos="4153"/>
          <w:tab w:val="clear" w:pos="8306"/>
        </w:tabs>
        <w:snapToGrid/>
        <w:ind w:firstLine="240" w:firstLineChars="100"/>
        <w:jc w:val="both"/>
        <w:rPr>
          <w:rFonts w:ascii="宋体" w:hAnsi="宋体"/>
          <w:sz w:val="24"/>
          <w:szCs w:val="24"/>
        </w:rPr>
      </w:pPr>
      <w:r>
        <w:rPr>
          <w:rFonts w:hint="eastAsia" w:ascii="宋体" w:hAnsi="宋体"/>
          <w:sz w:val="24"/>
          <w:szCs w:val="24"/>
        </w:rPr>
        <w:t>项目编号：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7756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vAlign w:val="center"/>
          </w:tcPr>
          <w:p w14:paraId="1539C9FA">
            <w:pPr>
              <w:jc w:val="center"/>
              <w:rPr>
                <w:rFonts w:ascii="宋体" w:hAnsi="宋体"/>
                <w:sz w:val="24"/>
              </w:rPr>
            </w:pPr>
            <w:r>
              <w:rPr>
                <w:rFonts w:hint="eastAsia" w:ascii="宋体" w:hAnsi="宋体"/>
                <w:sz w:val="24"/>
              </w:rPr>
              <w:t>序号</w:t>
            </w:r>
          </w:p>
        </w:tc>
        <w:tc>
          <w:tcPr>
            <w:tcW w:w="3634" w:type="dxa"/>
            <w:vAlign w:val="center"/>
          </w:tcPr>
          <w:p w14:paraId="56531778">
            <w:pPr>
              <w:jc w:val="center"/>
              <w:rPr>
                <w:rFonts w:ascii="宋体" w:hAnsi="宋体"/>
                <w:sz w:val="24"/>
              </w:rPr>
            </w:pPr>
            <w:r>
              <w:rPr>
                <w:rFonts w:hint="eastAsia" w:ascii="宋体" w:hAnsi="宋体"/>
                <w:sz w:val="24"/>
              </w:rPr>
              <w:t>采购文件要求</w:t>
            </w:r>
          </w:p>
        </w:tc>
        <w:tc>
          <w:tcPr>
            <w:tcW w:w="3950" w:type="dxa"/>
            <w:vAlign w:val="center"/>
          </w:tcPr>
          <w:p w14:paraId="258627F1">
            <w:pPr>
              <w:jc w:val="center"/>
              <w:rPr>
                <w:rFonts w:ascii="宋体" w:hAnsi="宋体"/>
                <w:sz w:val="24"/>
              </w:rPr>
            </w:pPr>
            <w:r>
              <w:rPr>
                <w:rFonts w:hint="eastAsia" w:ascii="宋体" w:hAnsi="宋体"/>
                <w:sz w:val="24"/>
              </w:rPr>
              <w:t>投标文件响应</w:t>
            </w:r>
          </w:p>
        </w:tc>
      </w:tr>
      <w:tr w14:paraId="5FA1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tcPr>
          <w:p w14:paraId="33368DDF">
            <w:pPr>
              <w:jc w:val="center"/>
              <w:rPr>
                <w:rFonts w:ascii="宋体" w:hAnsi="宋体"/>
                <w:sz w:val="24"/>
              </w:rPr>
            </w:pPr>
          </w:p>
        </w:tc>
        <w:tc>
          <w:tcPr>
            <w:tcW w:w="3634" w:type="dxa"/>
          </w:tcPr>
          <w:p w14:paraId="24497ED3">
            <w:pPr>
              <w:jc w:val="center"/>
              <w:rPr>
                <w:rFonts w:ascii="宋体" w:hAnsi="宋体"/>
                <w:sz w:val="24"/>
              </w:rPr>
            </w:pPr>
          </w:p>
        </w:tc>
        <w:tc>
          <w:tcPr>
            <w:tcW w:w="3950" w:type="dxa"/>
          </w:tcPr>
          <w:p w14:paraId="384716B8">
            <w:pPr>
              <w:jc w:val="center"/>
              <w:rPr>
                <w:rFonts w:ascii="宋体" w:hAnsi="宋体"/>
                <w:sz w:val="24"/>
              </w:rPr>
            </w:pPr>
          </w:p>
        </w:tc>
      </w:tr>
      <w:tr w14:paraId="2085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tcPr>
          <w:p w14:paraId="7B0F9188">
            <w:pPr>
              <w:jc w:val="center"/>
              <w:rPr>
                <w:rFonts w:ascii="宋体" w:hAnsi="宋体"/>
                <w:sz w:val="24"/>
              </w:rPr>
            </w:pPr>
          </w:p>
        </w:tc>
        <w:tc>
          <w:tcPr>
            <w:tcW w:w="3634" w:type="dxa"/>
          </w:tcPr>
          <w:p w14:paraId="7B6D7122">
            <w:pPr>
              <w:jc w:val="center"/>
              <w:rPr>
                <w:rFonts w:ascii="宋体" w:hAnsi="宋体"/>
                <w:sz w:val="24"/>
              </w:rPr>
            </w:pPr>
          </w:p>
        </w:tc>
        <w:tc>
          <w:tcPr>
            <w:tcW w:w="3950" w:type="dxa"/>
          </w:tcPr>
          <w:p w14:paraId="25AD2E1A">
            <w:pPr>
              <w:jc w:val="center"/>
              <w:rPr>
                <w:rFonts w:ascii="宋体" w:hAnsi="宋体"/>
                <w:sz w:val="24"/>
              </w:rPr>
            </w:pPr>
          </w:p>
        </w:tc>
      </w:tr>
      <w:tr w14:paraId="0E38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tcPr>
          <w:p w14:paraId="3968664D">
            <w:pPr>
              <w:jc w:val="center"/>
              <w:rPr>
                <w:rFonts w:ascii="宋体" w:hAnsi="宋体"/>
                <w:sz w:val="24"/>
              </w:rPr>
            </w:pPr>
          </w:p>
        </w:tc>
        <w:tc>
          <w:tcPr>
            <w:tcW w:w="3634" w:type="dxa"/>
          </w:tcPr>
          <w:p w14:paraId="29417AD1">
            <w:pPr>
              <w:jc w:val="center"/>
              <w:rPr>
                <w:rFonts w:ascii="宋体" w:hAnsi="宋体"/>
                <w:sz w:val="24"/>
              </w:rPr>
            </w:pPr>
          </w:p>
        </w:tc>
        <w:tc>
          <w:tcPr>
            <w:tcW w:w="3950" w:type="dxa"/>
          </w:tcPr>
          <w:p w14:paraId="399D2936">
            <w:pPr>
              <w:jc w:val="center"/>
              <w:rPr>
                <w:rFonts w:ascii="宋体" w:hAnsi="宋体"/>
                <w:sz w:val="24"/>
              </w:rPr>
            </w:pPr>
          </w:p>
        </w:tc>
      </w:tr>
      <w:tr w14:paraId="7D5F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tcPr>
          <w:p w14:paraId="41EAC2A4">
            <w:pPr>
              <w:jc w:val="center"/>
              <w:rPr>
                <w:rFonts w:ascii="宋体" w:hAnsi="宋体"/>
                <w:sz w:val="24"/>
              </w:rPr>
            </w:pPr>
          </w:p>
        </w:tc>
        <w:tc>
          <w:tcPr>
            <w:tcW w:w="3634" w:type="dxa"/>
          </w:tcPr>
          <w:p w14:paraId="29392C36">
            <w:pPr>
              <w:jc w:val="center"/>
              <w:rPr>
                <w:rFonts w:ascii="宋体" w:hAnsi="宋体"/>
                <w:sz w:val="24"/>
              </w:rPr>
            </w:pPr>
          </w:p>
        </w:tc>
        <w:tc>
          <w:tcPr>
            <w:tcW w:w="3950" w:type="dxa"/>
          </w:tcPr>
          <w:p w14:paraId="7563B51C">
            <w:pPr>
              <w:jc w:val="center"/>
              <w:rPr>
                <w:rFonts w:ascii="宋体" w:hAnsi="宋体"/>
                <w:sz w:val="24"/>
              </w:rPr>
            </w:pPr>
          </w:p>
        </w:tc>
      </w:tr>
    </w:tbl>
    <w:p w14:paraId="49766B5C">
      <w:pPr>
        <w:ind w:firstLine="482" w:firstLineChars="200"/>
        <w:rPr>
          <w:rFonts w:ascii="宋体" w:hAnsi="宋体"/>
          <w:b/>
          <w:sz w:val="24"/>
        </w:rPr>
      </w:pPr>
    </w:p>
    <w:p w14:paraId="0B704CE4">
      <w:pPr>
        <w:ind w:firstLine="480" w:firstLineChars="200"/>
        <w:rPr>
          <w:rFonts w:ascii="宋体" w:hAnsi="宋体"/>
          <w:b/>
          <w:sz w:val="24"/>
        </w:rPr>
      </w:pPr>
      <w:r>
        <w:rPr>
          <w:rFonts w:hint="eastAsia" w:ascii="宋体" w:hAnsi="宋体"/>
          <w:sz w:val="24"/>
        </w:rPr>
        <w:t>注意：供应商必须据实填写，不得虚假响应，虚假响应的，其投标文件无效并按规定追究其相关责任。</w:t>
      </w:r>
    </w:p>
    <w:p w14:paraId="4A230311">
      <w:pPr>
        <w:adjustRightInd w:val="0"/>
        <w:spacing w:line="400" w:lineRule="exact"/>
        <w:ind w:firstLine="480" w:firstLineChars="200"/>
        <w:jc w:val="left"/>
        <w:rPr>
          <w:rFonts w:ascii="宋体" w:hAnsi="宋体"/>
          <w:sz w:val="24"/>
        </w:rPr>
      </w:pPr>
    </w:p>
    <w:p w14:paraId="4725F661">
      <w:pPr>
        <w:adjustRightInd w:val="0"/>
        <w:spacing w:line="400" w:lineRule="exact"/>
        <w:ind w:firstLine="480" w:firstLineChars="200"/>
        <w:jc w:val="left"/>
        <w:rPr>
          <w:rFonts w:ascii="宋体" w:hAnsi="宋体"/>
          <w:sz w:val="24"/>
        </w:rPr>
      </w:pPr>
      <w:r>
        <w:rPr>
          <w:rFonts w:hint="eastAsia" w:ascii="宋体" w:hAnsi="宋体"/>
          <w:sz w:val="24"/>
        </w:rPr>
        <w:t>供应商人名称：XXX（盖单位公章）</w:t>
      </w:r>
    </w:p>
    <w:p w14:paraId="481B3BE4">
      <w:pPr>
        <w:adjustRightInd w:val="0"/>
        <w:spacing w:line="400" w:lineRule="exact"/>
        <w:ind w:firstLine="540" w:firstLineChars="225"/>
        <w:jc w:val="left"/>
        <w:rPr>
          <w:bCs/>
          <w:sz w:val="24"/>
        </w:rPr>
      </w:pPr>
      <w:r>
        <w:rPr>
          <w:rFonts w:hint="eastAsia"/>
          <w:bCs/>
          <w:sz w:val="24"/>
        </w:rPr>
        <w:t>法定代表人或授权代表（签字或盖章）：XXX</w:t>
      </w:r>
    </w:p>
    <w:p w14:paraId="2A74FDAF">
      <w:pPr>
        <w:adjustRightInd w:val="0"/>
        <w:spacing w:line="400" w:lineRule="exact"/>
        <w:ind w:firstLine="540" w:firstLineChars="225"/>
        <w:jc w:val="left"/>
        <w:rPr>
          <w:bCs/>
          <w:sz w:val="24"/>
        </w:rPr>
      </w:pPr>
      <w:r>
        <w:rPr>
          <w:rFonts w:hint="eastAsia"/>
          <w:bCs/>
          <w:sz w:val="24"/>
        </w:rPr>
        <w:t>日  期：XXX年XXX月XXX日</w:t>
      </w:r>
    </w:p>
    <w:p w14:paraId="748E9950">
      <w:pPr>
        <w:pStyle w:val="5"/>
        <w:tabs>
          <w:tab w:val="left" w:pos="0"/>
        </w:tabs>
        <w:jc w:val="center"/>
      </w:pPr>
    </w:p>
    <w:p w14:paraId="67BA8D1B">
      <w:pPr>
        <w:pStyle w:val="5"/>
        <w:tabs>
          <w:tab w:val="left" w:pos="0"/>
        </w:tabs>
        <w:jc w:val="center"/>
      </w:pPr>
    </w:p>
    <w:p w14:paraId="06AFDA11">
      <w:pPr>
        <w:pStyle w:val="5"/>
        <w:tabs>
          <w:tab w:val="left" w:pos="0"/>
        </w:tabs>
        <w:jc w:val="center"/>
      </w:pPr>
    </w:p>
    <w:p w14:paraId="03C1847B">
      <w:pPr>
        <w:adjustRightInd w:val="0"/>
        <w:spacing w:line="400" w:lineRule="exact"/>
        <w:jc w:val="left"/>
        <w:rPr>
          <w:rFonts w:ascii="宋体" w:hAnsi="宋体"/>
          <w:sz w:val="28"/>
        </w:rPr>
        <w:sectPr>
          <w:footerReference r:id="rId4" w:type="default"/>
          <w:type w:val="continuous"/>
          <w:pgSz w:w="11850" w:h="16783"/>
          <w:pgMar w:top="1440" w:right="1800" w:bottom="1440" w:left="1800" w:header="851" w:footer="992" w:gutter="0"/>
          <w:pgNumType w:fmt="numberInDash"/>
          <w:cols w:space="720" w:num="1"/>
          <w:docGrid w:linePitch="312" w:charSpace="0"/>
        </w:sectPr>
      </w:pPr>
    </w:p>
    <w:p w14:paraId="31AC5A11">
      <w:pPr>
        <w:jc w:val="center"/>
        <w:rPr>
          <w:b/>
          <w:sz w:val="32"/>
          <w:szCs w:val="32"/>
        </w:rPr>
      </w:pPr>
      <w:r>
        <w:rPr>
          <w:rFonts w:hint="eastAsia"/>
          <w:b/>
          <w:sz w:val="32"/>
          <w:szCs w:val="32"/>
        </w:rPr>
        <w:t>九、供应商本项目管理、技术、服务人员情况表</w:t>
      </w:r>
    </w:p>
    <w:p w14:paraId="6F177680">
      <w:pPr>
        <w:rPr>
          <w:sz w:val="32"/>
          <w:szCs w:val="32"/>
        </w:rPr>
      </w:pPr>
    </w:p>
    <w:p w14:paraId="7DF7B5EF">
      <w:pPr>
        <w:rPr>
          <w:sz w:val="24"/>
        </w:rPr>
      </w:pPr>
      <w:r>
        <w:rPr>
          <w:rFonts w:hint="eastAsia"/>
          <w:sz w:val="24"/>
        </w:rPr>
        <w:t>项目编号：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7D1B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2113DB2">
            <w:pPr>
              <w:jc w:val="center"/>
              <w:rPr>
                <w:sz w:val="24"/>
              </w:rPr>
            </w:pPr>
            <w:r>
              <w:rPr>
                <w:rFonts w:hint="eastAsia"/>
                <w:sz w:val="24"/>
              </w:rPr>
              <w:t>类别</w:t>
            </w:r>
          </w:p>
        </w:tc>
        <w:tc>
          <w:tcPr>
            <w:tcW w:w="947" w:type="dxa"/>
            <w:vMerge w:val="restart"/>
            <w:vAlign w:val="center"/>
          </w:tcPr>
          <w:p w14:paraId="614D5203">
            <w:pPr>
              <w:jc w:val="center"/>
              <w:rPr>
                <w:sz w:val="24"/>
              </w:rPr>
            </w:pPr>
            <w:r>
              <w:rPr>
                <w:rFonts w:hint="eastAsia"/>
                <w:sz w:val="24"/>
              </w:rPr>
              <w:t>职务</w:t>
            </w:r>
          </w:p>
        </w:tc>
        <w:tc>
          <w:tcPr>
            <w:tcW w:w="947" w:type="dxa"/>
            <w:vMerge w:val="restart"/>
            <w:vAlign w:val="center"/>
          </w:tcPr>
          <w:p w14:paraId="01F1766D">
            <w:pPr>
              <w:jc w:val="center"/>
              <w:rPr>
                <w:sz w:val="24"/>
              </w:rPr>
            </w:pPr>
            <w:r>
              <w:rPr>
                <w:rFonts w:hint="eastAsia"/>
                <w:sz w:val="24"/>
              </w:rPr>
              <w:t>姓名</w:t>
            </w:r>
          </w:p>
        </w:tc>
        <w:tc>
          <w:tcPr>
            <w:tcW w:w="947" w:type="dxa"/>
            <w:vMerge w:val="restart"/>
            <w:vAlign w:val="center"/>
          </w:tcPr>
          <w:p w14:paraId="39291E8F">
            <w:pPr>
              <w:jc w:val="center"/>
              <w:rPr>
                <w:sz w:val="24"/>
              </w:rPr>
            </w:pPr>
            <w:r>
              <w:rPr>
                <w:rFonts w:hint="eastAsia"/>
                <w:sz w:val="24"/>
              </w:rPr>
              <w:t>职称</w:t>
            </w:r>
          </w:p>
        </w:tc>
        <w:tc>
          <w:tcPr>
            <w:tcW w:w="947" w:type="dxa"/>
            <w:vMerge w:val="restart"/>
            <w:vAlign w:val="center"/>
          </w:tcPr>
          <w:p w14:paraId="7D29BD56">
            <w:pPr>
              <w:jc w:val="center"/>
              <w:rPr>
                <w:sz w:val="24"/>
              </w:rPr>
            </w:pPr>
            <w:r>
              <w:rPr>
                <w:rFonts w:hint="eastAsia"/>
                <w:sz w:val="24"/>
              </w:rPr>
              <w:t>常住地</w:t>
            </w:r>
          </w:p>
        </w:tc>
        <w:tc>
          <w:tcPr>
            <w:tcW w:w="3788" w:type="dxa"/>
            <w:gridSpan w:val="4"/>
            <w:vAlign w:val="center"/>
          </w:tcPr>
          <w:p w14:paraId="73E0BFB1">
            <w:pPr>
              <w:jc w:val="center"/>
              <w:rPr>
                <w:sz w:val="24"/>
              </w:rPr>
            </w:pPr>
            <w:r>
              <w:rPr>
                <w:rFonts w:hint="eastAsia"/>
                <w:sz w:val="24"/>
              </w:rPr>
              <w:t>资格证明（附复印件）</w:t>
            </w:r>
          </w:p>
        </w:tc>
      </w:tr>
      <w:tr w14:paraId="683B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183E796">
            <w:pPr>
              <w:jc w:val="center"/>
              <w:rPr>
                <w:sz w:val="24"/>
              </w:rPr>
            </w:pPr>
          </w:p>
        </w:tc>
        <w:tc>
          <w:tcPr>
            <w:tcW w:w="947" w:type="dxa"/>
            <w:vMerge w:val="continue"/>
            <w:vAlign w:val="center"/>
          </w:tcPr>
          <w:p w14:paraId="383EFAF1">
            <w:pPr>
              <w:jc w:val="center"/>
              <w:rPr>
                <w:sz w:val="24"/>
              </w:rPr>
            </w:pPr>
          </w:p>
        </w:tc>
        <w:tc>
          <w:tcPr>
            <w:tcW w:w="947" w:type="dxa"/>
            <w:vMerge w:val="continue"/>
            <w:vAlign w:val="center"/>
          </w:tcPr>
          <w:p w14:paraId="3A7319C2">
            <w:pPr>
              <w:jc w:val="center"/>
              <w:rPr>
                <w:sz w:val="24"/>
              </w:rPr>
            </w:pPr>
          </w:p>
        </w:tc>
        <w:tc>
          <w:tcPr>
            <w:tcW w:w="947" w:type="dxa"/>
            <w:vMerge w:val="continue"/>
            <w:vAlign w:val="center"/>
          </w:tcPr>
          <w:p w14:paraId="006CCDFD">
            <w:pPr>
              <w:jc w:val="center"/>
              <w:rPr>
                <w:sz w:val="24"/>
              </w:rPr>
            </w:pPr>
          </w:p>
        </w:tc>
        <w:tc>
          <w:tcPr>
            <w:tcW w:w="947" w:type="dxa"/>
            <w:vMerge w:val="continue"/>
            <w:vAlign w:val="center"/>
          </w:tcPr>
          <w:p w14:paraId="24CF5BA8">
            <w:pPr>
              <w:jc w:val="center"/>
              <w:rPr>
                <w:sz w:val="24"/>
              </w:rPr>
            </w:pPr>
          </w:p>
        </w:tc>
        <w:tc>
          <w:tcPr>
            <w:tcW w:w="947" w:type="dxa"/>
            <w:vAlign w:val="center"/>
          </w:tcPr>
          <w:p w14:paraId="28960EBF">
            <w:pPr>
              <w:jc w:val="center"/>
              <w:rPr>
                <w:sz w:val="24"/>
              </w:rPr>
            </w:pPr>
            <w:r>
              <w:rPr>
                <w:rFonts w:hint="eastAsia"/>
                <w:sz w:val="24"/>
              </w:rPr>
              <w:t>证书</w:t>
            </w:r>
          </w:p>
          <w:p w14:paraId="2AC35702">
            <w:pPr>
              <w:jc w:val="center"/>
              <w:rPr>
                <w:sz w:val="24"/>
              </w:rPr>
            </w:pPr>
            <w:r>
              <w:rPr>
                <w:rFonts w:hint="eastAsia"/>
                <w:sz w:val="24"/>
              </w:rPr>
              <w:t>名称</w:t>
            </w:r>
          </w:p>
        </w:tc>
        <w:tc>
          <w:tcPr>
            <w:tcW w:w="947" w:type="dxa"/>
            <w:vAlign w:val="center"/>
          </w:tcPr>
          <w:p w14:paraId="34E50F45">
            <w:pPr>
              <w:jc w:val="center"/>
              <w:rPr>
                <w:sz w:val="24"/>
              </w:rPr>
            </w:pPr>
            <w:r>
              <w:rPr>
                <w:rFonts w:hint="eastAsia"/>
                <w:sz w:val="24"/>
              </w:rPr>
              <w:t>级别</w:t>
            </w:r>
          </w:p>
        </w:tc>
        <w:tc>
          <w:tcPr>
            <w:tcW w:w="947" w:type="dxa"/>
            <w:vAlign w:val="center"/>
          </w:tcPr>
          <w:p w14:paraId="355A5D4F">
            <w:pPr>
              <w:jc w:val="center"/>
              <w:rPr>
                <w:sz w:val="24"/>
              </w:rPr>
            </w:pPr>
            <w:r>
              <w:rPr>
                <w:rFonts w:hint="eastAsia"/>
                <w:sz w:val="24"/>
              </w:rPr>
              <w:t>证号</w:t>
            </w:r>
          </w:p>
        </w:tc>
        <w:tc>
          <w:tcPr>
            <w:tcW w:w="947" w:type="dxa"/>
            <w:vAlign w:val="center"/>
          </w:tcPr>
          <w:p w14:paraId="39F730BE">
            <w:pPr>
              <w:jc w:val="center"/>
              <w:rPr>
                <w:sz w:val="24"/>
              </w:rPr>
            </w:pPr>
            <w:r>
              <w:rPr>
                <w:rFonts w:hint="eastAsia"/>
                <w:sz w:val="24"/>
              </w:rPr>
              <w:t>专业</w:t>
            </w:r>
          </w:p>
        </w:tc>
      </w:tr>
      <w:tr w14:paraId="58049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03F48E88">
            <w:pPr>
              <w:jc w:val="center"/>
              <w:rPr>
                <w:sz w:val="24"/>
              </w:rPr>
            </w:pPr>
            <w:r>
              <w:rPr>
                <w:rFonts w:hint="eastAsia"/>
                <w:sz w:val="24"/>
              </w:rPr>
              <w:t>管理</w:t>
            </w:r>
          </w:p>
          <w:p w14:paraId="005E9FEE">
            <w:pPr>
              <w:jc w:val="center"/>
              <w:rPr>
                <w:sz w:val="24"/>
              </w:rPr>
            </w:pPr>
            <w:r>
              <w:rPr>
                <w:rFonts w:hint="eastAsia"/>
                <w:sz w:val="24"/>
              </w:rPr>
              <w:t>人员</w:t>
            </w:r>
          </w:p>
        </w:tc>
        <w:tc>
          <w:tcPr>
            <w:tcW w:w="947" w:type="dxa"/>
          </w:tcPr>
          <w:p w14:paraId="4C6A3DDD">
            <w:pPr>
              <w:rPr>
                <w:sz w:val="24"/>
              </w:rPr>
            </w:pPr>
          </w:p>
        </w:tc>
        <w:tc>
          <w:tcPr>
            <w:tcW w:w="947" w:type="dxa"/>
          </w:tcPr>
          <w:p w14:paraId="56AC4292">
            <w:pPr>
              <w:rPr>
                <w:sz w:val="24"/>
              </w:rPr>
            </w:pPr>
          </w:p>
        </w:tc>
        <w:tc>
          <w:tcPr>
            <w:tcW w:w="947" w:type="dxa"/>
          </w:tcPr>
          <w:p w14:paraId="41345FB2">
            <w:pPr>
              <w:rPr>
                <w:sz w:val="24"/>
              </w:rPr>
            </w:pPr>
          </w:p>
        </w:tc>
        <w:tc>
          <w:tcPr>
            <w:tcW w:w="947" w:type="dxa"/>
          </w:tcPr>
          <w:p w14:paraId="5A6C696A">
            <w:pPr>
              <w:rPr>
                <w:sz w:val="24"/>
              </w:rPr>
            </w:pPr>
          </w:p>
        </w:tc>
        <w:tc>
          <w:tcPr>
            <w:tcW w:w="947" w:type="dxa"/>
          </w:tcPr>
          <w:p w14:paraId="1DE19C3B">
            <w:pPr>
              <w:rPr>
                <w:sz w:val="24"/>
              </w:rPr>
            </w:pPr>
          </w:p>
        </w:tc>
        <w:tc>
          <w:tcPr>
            <w:tcW w:w="947" w:type="dxa"/>
          </w:tcPr>
          <w:p w14:paraId="57921960">
            <w:pPr>
              <w:rPr>
                <w:sz w:val="24"/>
              </w:rPr>
            </w:pPr>
          </w:p>
        </w:tc>
        <w:tc>
          <w:tcPr>
            <w:tcW w:w="947" w:type="dxa"/>
          </w:tcPr>
          <w:p w14:paraId="398D31A9">
            <w:pPr>
              <w:rPr>
                <w:sz w:val="24"/>
              </w:rPr>
            </w:pPr>
          </w:p>
        </w:tc>
        <w:tc>
          <w:tcPr>
            <w:tcW w:w="947" w:type="dxa"/>
          </w:tcPr>
          <w:p w14:paraId="759E8589">
            <w:pPr>
              <w:rPr>
                <w:sz w:val="24"/>
              </w:rPr>
            </w:pPr>
          </w:p>
        </w:tc>
      </w:tr>
      <w:tr w14:paraId="2E08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83C11DD">
            <w:pPr>
              <w:jc w:val="center"/>
              <w:rPr>
                <w:sz w:val="24"/>
              </w:rPr>
            </w:pPr>
          </w:p>
        </w:tc>
        <w:tc>
          <w:tcPr>
            <w:tcW w:w="947" w:type="dxa"/>
          </w:tcPr>
          <w:p w14:paraId="25BFF91D">
            <w:pPr>
              <w:rPr>
                <w:sz w:val="24"/>
              </w:rPr>
            </w:pPr>
          </w:p>
        </w:tc>
        <w:tc>
          <w:tcPr>
            <w:tcW w:w="947" w:type="dxa"/>
          </w:tcPr>
          <w:p w14:paraId="23AA3261">
            <w:pPr>
              <w:rPr>
                <w:sz w:val="24"/>
              </w:rPr>
            </w:pPr>
          </w:p>
        </w:tc>
        <w:tc>
          <w:tcPr>
            <w:tcW w:w="947" w:type="dxa"/>
          </w:tcPr>
          <w:p w14:paraId="5EE38547">
            <w:pPr>
              <w:rPr>
                <w:sz w:val="24"/>
              </w:rPr>
            </w:pPr>
          </w:p>
        </w:tc>
        <w:tc>
          <w:tcPr>
            <w:tcW w:w="947" w:type="dxa"/>
          </w:tcPr>
          <w:p w14:paraId="7198E3EA">
            <w:pPr>
              <w:rPr>
                <w:sz w:val="24"/>
              </w:rPr>
            </w:pPr>
          </w:p>
        </w:tc>
        <w:tc>
          <w:tcPr>
            <w:tcW w:w="947" w:type="dxa"/>
          </w:tcPr>
          <w:p w14:paraId="2C6640DE">
            <w:pPr>
              <w:rPr>
                <w:sz w:val="24"/>
              </w:rPr>
            </w:pPr>
          </w:p>
        </w:tc>
        <w:tc>
          <w:tcPr>
            <w:tcW w:w="947" w:type="dxa"/>
          </w:tcPr>
          <w:p w14:paraId="17452ABE">
            <w:pPr>
              <w:rPr>
                <w:sz w:val="24"/>
              </w:rPr>
            </w:pPr>
          </w:p>
        </w:tc>
        <w:tc>
          <w:tcPr>
            <w:tcW w:w="947" w:type="dxa"/>
          </w:tcPr>
          <w:p w14:paraId="63BDEBC4">
            <w:pPr>
              <w:rPr>
                <w:sz w:val="24"/>
              </w:rPr>
            </w:pPr>
          </w:p>
        </w:tc>
        <w:tc>
          <w:tcPr>
            <w:tcW w:w="947" w:type="dxa"/>
          </w:tcPr>
          <w:p w14:paraId="309F564F">
            <w:pPr>
              <w:rPr>
                <w:sz w:val="24"/>
              </w:rPr>
            </w:pPr>
          </w:p>
        </w:tc>
      </w:tr>
      <w:tr w14:paraId="7142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D1460E8">
            <w:pPr>
              <w:jc w:val="center"/>
              <w:rPr>
                <w:sz w:val="24"/>
              </w:rPr>
            </w:pPr>
          </w:p>
        </w:tc>
        <w:tc>
          <w:tcPr>
            <w:tcW w:w="947" w:type="dxa"/>
          </w:tcPr>
          <w:p w14:paraId="59F82D23">
            <w:pPr>
              <w:rPr>
                <w:sz w:val="24"/>
              </w:rPr>
            </w:pPr>
          </w:p>
        </w:tc>
        <w:tc>
          <w:tcPr>
            <w:tcW w:w="947" w:type="dxa"/>
          </w:tcPr>
          <w:p w14:paraId="3A74998A">
            <w:pPr>
              <w:rPr>
                <w:sz w:val="24"/>
              </w:rPr>
            </w:pPr>
          </w:p>
        </w:tc>
        <w:tc>
          <w:tcPr>
            <w:tcW w:w="947" w:type="dxa"/>
          </w:tcPr>
          <w:p w14:paraId="13E442BA">
            <w:pPr>
              <w:rPr>
                <w:sz w:val="24"/>
              </w:rPr>
            </w:pPr>
          </w:p>
        </w:tc>
        <w:tc>
          <w:tcPr>
            <w:tcW w:w="947" w:type="dxa"/>
          </w:tcPr>
          <w:p w14:paraId="6B978B6E">
            <w:pPr>
              <w:rPr>
                <w:sz w:val="24"/>
              </w:rPr>
            </w:pPr>
          </w:p>
        </w:tc>
        <w:tc>
          <w:tcPr>
            <w:tcW w:w="947" w:type="dxa"/>
          </w:tcPr>
          <w:p w14:paraId="399CD804">
            <w:pPr>
              <w:rPr>
                <w:sz w:val="24"/>
              </w:rPr>
            </w:pPr>
          </w:p>
        </w:tc>
        <w:tc>
          <w:tcPr>
            <w:tcW w:w="947" w:type="dxa"/>
          </w:tcPr>
          <w:p w14:paraId="0D437600">
            <w:pPr>
              <w:rPr>
                <w:sz w:val="24"/>
              </w:rPr>
            </w:pPr>
          </w:p>
        </w:tc>
        <w:tc>
          <w:tcPr>
            <w:tcW w:w="947" w:type="dxa"/>
          </w:tcPr>
          <w:p w14:paraId="18424182">
            <w:pPr>
              <w:rPr>
                <w:sz w:val="24"/>
              </w:rPr>
            </w:pPr>
          </w:p>
        </w:tc>
        <w:tc>
          <w:tcPr>
            <w:tcW w:w="947" w:type="dxa"/>
          </w:tcPr>
          <w:p w14:paraId="70B4E31A">
            <w:pPr>
              <w:rPr>
                <w:sz w:val="24"/>
              </w:rPr>
            </w:pPr>
          </w:p>
        </w:tc>
      </w:tr>
      <w:tr w14:paraId="44E9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99B116C">
            <w:pPr>
              <w:jc w:val="center"/>
              <w:rPr>
                <w:sz w:val="24"/>
              </w:rPr>
            </w:pPr>
            <w:r>
              <w:rPr>
                <w:rFonts w:hint="eastAsia"/>
                <w:sz w:val="24"/>
              </w:rPr>
              <w:t>技术</w:t>
            </w:r>
          </w:p>
          <w:p w14:paraId="2A1754B2">
            <w:pPr>
              <w:jc w:val="center"/>
              <w:rPr>
                <w:sz w:val="24"/>
              </w:rPr>
            </w:pPr>
            <w:r>
              <w:rPr>
                <w:rFonts w:hint="eastAsia"/>
                <w:sz w:val="24"/>
              </w:rPr>
              <w:t>人员</w:t>
            </w:r>
          </w:p>
        </w:tc>
        <w:tc>
          <w:tcPr>
            <w:tcW w:w="947" w:type="dxa"/>
          </w:tcPr>
          <w:p w14:paraId="52AAE586">
            <w:pPr>
              <w:rPr>
                <w:sz w:val="24"/>
              </w:rPr>
            </w:pPr>
          </w:p>
        </w:tc>
        <w:tc>
          <w:tcPr>
            <w:tcW w:w="947" w:type="dxa"/>
          </w:tcPr>
          <w:p w14:paraId="43D69FD7">
            <w:pPr>
              <w:rPr>
                <w:sz w:val="24"/>
              </w:rPr>
            </w:pPr>
          </w:p>
        </w:tc>
        <w:tc>
          <w:tcPr>
            <w:tcW w:w="947" w:type="dxa"/>
          </w:tcPr>
          <w:p w14:paraId="330E6191">
            <w:pPr>
              <w:rPr>
                <w:sz w:val="24"/>
              </w:rPr>
            </w:pPr>
          </w:p>
        </w:tc>
        <w:tc>
          <w:tcPr>
            <w:tcW w:w="947" w:type="dxa"/>
          </w:tcPr>
          <w:p w14:paraId="1A7D21F9">
            <w:pPr>
              <w:rPr>
                <w:sz w:val="24"/>
              </w:rPr>
            </w:pPr>
          </w:p>
        </w:tc>
        <w:tc>
          <w:tcPr>
            <w:tcW w:w="947" w:type="dxa"/>
          </w:tcPr>
          <w:p w14:paraId="6685ECA8">
            <w:pPr>
              <w:rPr>
                <w:sz w:val="24"/>
              </w:rPr>
            </w:pPr>
          </w:p>
        </w:tc>
        <w:tc>
          <w:tcPr>
            <w:tcW w:w="947" w:type="dxa"/>
          </w:tcPr>
          <w:p w14:paraId="7BE55DF4">
            <w:pPr>
              <w:rPr>
                <w:sz w:val="24"/>
              </w:rPr>
            </w:pPr>
          </w:p>
        </w:tc>
        <w:tc>
          <w:tcPr>
            <w:tcW w:w="947" w:type="dxa"/>
          </w:tcPr>
          <w:p w14:paraId="4DB6526A">
            <w:pPr>
              <w:rPr>
                <w:sz w:val="24"/>
              </w:rPr>
            </w:pPr>
          </w:p>
        </w:tc>
        <w:tc>
          <w:tcPr>
            <w:tcW w:w="947" w:type="dxa"/>
          </w:tcPr>
          <w:p w14:paraId="2940D09C">
            <w:pPr>
              <w:rPr>
                <w:sz w:val="24"/>
              </w:rPr>
            </w:pPr>
          </w:p>
        </w:tc>
      </w:tr>
      <w:tr w14:paraId="5AD3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E03A408">
            <w:pPr>
              <w:jc w:val="center"/>
              <w:rPr>
                <w:sz w:val="24"/>
              </w:rPr>
            </w:pPr>
          </w:p>
        </w:tc>
        <w:tc>
          <w:tcPr>
            <w:tcW w:w="947" w:type="dxa"/>
          </w:tcPr>
          <w:p w14:paraId="0324E772">
            <w:pPr>
              <w:rPr>
                <w:sz w:val="24"/>
              </w:rPr>
            </w:pPr>
          </w:p>
        </w:tc>
        <w:tc>
          <w:tcPr>
            <w:tcW w:w="947" w:type="dxa"/>
          </w:tcPr>
          <w:p w14:paraId="0EBDD654">
            <w:pPr>
              <w:rPr>
                <w:sz w:val="24"/>
              </w:rPr>
            </w:pPr>
          </w:p>
        </w:tc>
        <w:tc>
          <w:tcPr>
            <w:tcW w:w="947" w:type="dxa"/>
          </w:tcPr>
          <w:p w14:paraId="1A3E8D9A">
            <w:pPr>
              <w:rPr>
                <w:sz w:val="24"/>
              </w:rPr>
            </w:pPr>
          </w:p>
        </w:tc>
        <w:tc>
          <w:tcPr>
            <w:tcW w:w="947" w:type="dxa"/>
          </w:tcPr>
          <w:p w14:paraId="4ADB2636">
            <w:pPr>
              <w:rPr>
                <w:sz w:val="24"/>
              </w:rPr>
            </w:pPr>
          </w:p>
        </w:tc>
        <w:tc>
          <w:tcPr>
            <w:tcW w:w="947" w:type="dxa"/>
          </w:tcPr>
          <w:p w14:paraId="1022CA9C">
            <w:pPr>
              <w:rPr>
                <w:sz w:val="24"/>
              </w:rPr>
            </w:pPr>
          </w:p>
        </w:tc>
        <w:tc>
          <w:tcPr>
            <w:tcW w:w="947" w:type="dxa"/>
          </w:tcPr>
          <w:p w14:paraId="6B8D1FD4">
            <w:pPr>
              <w:rPr>
                <w:sz w:val="24"/>
              </w:rPr>
            </w:pPr>
          </w:p>
        </w:tc>
        <w:tc>
          <w:tcPr>
            <w:tcW w:w="947" w:type="dxa"/>
          </w:tcPr>
          <w:p w14:paraId="5111E74F">
            <w:pPr>
              <w:rPr>
                <w:sz w:val="24"/>
              </w:rPr>
            </w:pPr>
          </w:p>
        </w:tc>
        <w:tc>
          <w:tcPr>
            <w:tcW w:w="947" w:type="dxa"/>
          </w:tcPr>
          <w:p w14:paraId="3CF6B378">
            <w:pPr>
              <w:rPr>
                <w:sz w:val="24"/>
              </w:rPr>
            </w:pPr>
          </w:p>
        </w:tc>
      </w:tr>
      <w:tr w14:paraId="4E8C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E8617EE">
            <w:pPr>
              <w:jc w:val="center"/>
              <w:rPr>
                <w:sz w:val="24"/>
              </w:rPr>
            </w:pPr>
          </w:p>
        </w:tc>
        <w:tc>
          <w:tcPr>
            <w:tcW w:w="947" w:type="dxa"/>
          </w:tcPr>
          <w:p w14:paraId="3D2BF476">
            <w:pPr>
              <w:rPr>
                <w:sz w:val="24"/>
              </w:rPr>
            </w:pPr>
          </w:p>
        </w:tc>
        <w:tc>
          <w:tcPr>
            <w:tcW w:w="947" w:type="dxa"/>
          </w:tcPr>
          <w:p w14:paraId="535481A3">
            <w:pPr>
              <w:rPr>
                <w:sz w:val="24"/>
              </w:rPr>
            </w:pPr>
          </w:p>
        </w:tc>
        <w:tc>
          <w:tcPr>
            <w:tcW w:w="947" w:type="dxa"/>
          </w:tcPr>
          <w:p w14:paraId="1A294AA3">
            <w:pPr>
              <w:rPr>
                <w:sz w:val="24"/>
              </w:rPr>
            </w:pPr>
          </w:p>
        </w:tc>
        <w:tc>
          <w:tcPr>
            <w:tcW w:w="947" w:type="dxa"/>
          </w:tcPr>
          <w:p w14:paraId="27036BC4">
            <w:pPr>
              <w:rPr>
                <w:sz w:val="24"/>
              </w:rPr>
            </w:pPr>
          </w:p>
        </w:tc>
        <w:tc>
          <w:tcPr>
            <w:tcW w:w="947" w:type="dxa"/>
          </w:tcPr>
          <w:p w14:paraId="7B9D5795">
            <w:pPr>
              <w:rPr>
                <w:sz w:val="24"/>
              </w:rPr>
            </w:pPr>
          </w:p>
        </w:tc>
        <w:tc>
          <w:tcPr>
            <w:tcW w:w="947" w:type="dxa"/>
          </w:tcPr>
          <w:p w14:paraId="0F830B89">
            <w:pPr>
              <w:rPr>
                <w:sz w:val="24"/>
              </w:rPr>
            </w:pPr>
          </w:p>
        </w:tc>
        <w:tc>
          <w:tcPr>
            <w:tcW w:w="947" w:type="dxa"/>
          </w:tcPr>
          <w:p w14:paraId="7EEC61E1">
            <w:pPr>
              <w:rPr>
                <w:sz w:val="24"/>
              </w:rPr>
            </w:pPr>
          </w:p>
        </w:tc>
        <w:tc>
          <w:tcPr>
            <w:tcW w:w="947" w:type="dxa"/>
          </w:tcPr>
          <w:p w14:paraId="387E14B4">
            <w:pPr>
              <w:rPr>
                <w:sz w:val="24"/>
              </w:rPr>
            </w:pPr>
          </w:p>
        </w:tc>
      </w:tr>
      <w:tr w14:paraId="41FC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47574BD">
            <w:pPr>
              <w:jc w:val="center"/>
              <w:rPr>
                <w:sz w:val="24"/>
              </w:rPr>
            </w:pPr>
            <w:r>
              <w:rPr>
                <w:rFonts w:hint="eastAsia"/>
                <w:sz w:val="24"/>
              </w:rPr>
              <w:t>服务</w:t>
            </w:r>
          </w:p>
          <w:p w14:paraId="692FDD2B">
            <w:pPr>
              <w:jc w:val="center"/>
              <w:rPr>
                <w:sz w:val="24"/>
              </w:rPr>
            </w:pPr>
            <w:r>
              <w:rPr>
                <w:rFonts w:hint="eastAsia"/>
                <w:sz w:val="24"/>
              </w:rPr>
              <w:t>人员</w:t>
            </w:r>
          </w:p>
        </w:tc>
        <w:tc>
          <w:tcPr>
            <w:tcW w:w="947" w:type="dxa"/>
          </w:tcPr>
          <w:p w14:paraId="7172A02A">
            <w:pPr>
              <w:rPr>
                <w:sz w:val="24"/>
              </w:rPr>
            </w:pPr>
          </w:p>
        </w:tc>
        <w:tc>
          <w:tcPr>
            <w:tcW w:w="947" w:type="dxa"/>
          </w:tcPr>
          <w:p w14:paraId="7C0B2F19">
            <w:pPr>
              <w:rPr>
                <w:sz w:val="24"/>
              </w:rPr>
            </w:pPr>
          </w:p>
        </w:tc>
        <w:tc>
          <w:tcPr>
            <w:tcW w:w="947" w:type="dxa"/>
          </w:tcPr>
          <w:p w14:paraId="1B38CEB7">
            <w:pPr>
              <w:rPr>
                <w:sz w:val="24"/>
              </w:rPr>
            </w:pPr>
          </w:p>
        </w:tc>
        <w:tc>
          <w:tcPr>
            <w:tcW w:w="947" w:type="dxa"/>
          </w:tcPr>
          <w:p w14:paraId="1BA81271">
            <w:pPr>
              <w:rPr>
                <w:sz w:val="24"/>
              </w:rPr>
            </w:pPr>
          </w:p>
        </w:tc>
        <w:tc>
          <w:tcPr>
            <w:tcW w:w="947" w:type="dxa"/>
          </w:tcPr>
          <w:p w14:paraId="281B46DE">
            <w:pPr>
              <w:rPr>
                <w:sz w:val="24"/>
              </w:rPr>
            </w:pPr>
          </w:p>
        </w:tc>
        <w:tc>
          <w:tcPr>
            <w:tcW w:w="947" w:type="dxa"/>
          </w:tcPr>
          <w:p w14:paraId="3BB21E79">
            <w:pPr>
              <w:rPr>
                <w:sz w:val="24"/>
              </w:rPr>
            </w:pPr>
          </w:p>
        </w:tc>
        <w:tc>
          <w:tcPr>
            <w:tcW w:w="947" w:type="dxa"/>
          </w:tcPr>
          <w:p w14:paraId="0FB0AA26">
            <w:pPr>
              <w:rPr>
                <w:sz w:val="24"/>
              </w:rPr>
            </w:pPr>
          </w:p>
        </w:tc>
        <w:tc>
          <w:tcPr>
            <w:tcW w:w="947" w:type="dxa"/>
          </w:tcPr>
          <w:p w14:paraId="4755EE3C">
            <w:pPr>
              <w:rPr>
                <w:sz w:val="24"/>
              </w:rPr>
            </w:pPr>
          </w:p>
        </w:tc>
      </w:tr>
      <w:tr w14:paraId="4A4C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2909242B">
            <w:pPr>
              <w:rPr>
                <w:sz w:val="24"/>
              </w:rPr>
            </w:pPr>
          </w:p>
        </w:tc>
        <w:tc>
          <w:tcPr>
            <w:tcW w:w="947" w:type="dxa"/>
          </w:tcPr>
          <w:p w14:paraId="583A14A6">
            <w:pPr>
              <w:rPr>
                <w:sz w:val="24"/>
              </w:rPr>
            </w:pPr>
          </w:p>
        </w:tc>
        <w:tc>
          <w:tcPr>
            <w:tcW w:w="947" w:type="dxa"/>
          </w:tcPr>
          <w:p w14:paraId="521DD3FB">
            <w:pPr>
              <w:rPr>
                <w:sz w:val="24"/>
              </w:rPr>
            </w:pPr>
          </w:p>
        </w:tc>
        <w:tc>
          <w:tcPr>
            <w:tcW w:w="947" w:type="dxa"/>
          </w:tcPr>
          <w:p w14:paraId="6C09BEDB">
            <w:pPr>
              <w:rPr>
                <w:sz w:val="24"/>
              </w:rPr>
            </w:pPr>
          </w:p>
        </w:tc>
        <w:tc>
          <w:tcPr>
            <w:tcW w:w="947" w:type="dxa"/>
          </w:tcPr>
          <w:p w14:paraId="07B257B5">
            <w:pPr>
              <w:rPr>
                <w:sz w:val="24"/>
              </w:rPr>
            </w:pPr>
          </w:p>
        </w:tc>
        <w:tc>
          <w:tcPr>
            <w:tcW w:w="947" w:type="dxa"/>
          </w:tcPr>
          <w:p w14:paraId="4F34470D">
            <w:pPr>
              <w:rPr>
                <w:sz w:val="24"/>
              </w:rPr>
            </w:pPr>
          </w:p>
        </w:tc>
        <w:tc>
          <w:tcPr>
            <w:tcW w:w="947" w:type="dxa"/>
          </w:tcPr>
          <w:p w14:paraId="16FC4BE8">
            <w:pPr>
              <w:rPr>
                <w:sz w:val="24"/>
              </w:rPr>
            </w:pPr>
          </w:p>
        </w:tc>
        <w:tc>
          <w:tcPr>
            <w:tcW w:w="947" w:type="dxa"/>
          </w:tcPr>
          <w:p w14:paraId="1324B872">
            <w:pPr>
              <w:rPr>
                <w:sz w:val="24"/>
              </w:rPr>
            </w:pPr>
          </w:p>
        </w:tc>
        <w:tc>
          <w:tcPr>
            <w:tcW w:w="947" w:type="dxa"/>
          </w:tcPr>
          <w:p w14:paraId="100B0649">
            <w:pPr>
              <w:rPr>
                <w:sz w:val="24"/>
              </w:rPr>
            </w:pPr>
          </w:p>
        </w:tc>
      </w:tr>
      <w:tr w14:paraId="788D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7742F7EE">
            <w:pPr>
              <w:rPr>
                <w:sz w:val="24"/>
              </w:rPr>
            </w:pPr>
          </w:p>
        </w:tc>
        <w:tc>
          <w:tcPr>
            <w:tcW w:w="947" w:type="dxa"/>
          </w:tcPr>
          <w:p w14:paraId="7D9D9A97">
            <w:pPr>
              <w:rPr>
                <w:sz w:val="24"/>
              </w:rPr>
            </w:pPr>
          </w:p>
        </w:tc>
        <w:tc>
          <w:tcPr>
            <w:tcW w:w="947" w:type="dxa"/>
          </w:tcPr>
          <w:p w14:paraId="187364F8">
            <w:pPr>
              <w:rPr>
                <w:sz w:val="24"/>
              </w:rPr>
            </w:pPr>
          </w:p>
        </w:tc>
        <w:tc>
          <w:tcPr>
            <w:tcW w:w="947" w:type="dxa"/>
          </w:tcPr>
          <w:p w14:paraId="1C511DBE">
            <w:pPr>
              <w:rPr>
                <w:sz w:val="24"/>
              </w:rPr>
            </w:pPr>
          </w:p>
        </w:tc>
        <w:tc>
          <w:tcPr>
            <w:tcW w:w="947" w:type="dxa"/>
          </w:tcPr>
          <w:p w14:paraId="1F9CD96A">
            <w:pPr>
              <w:rPr>
                <w:sz w:val="24"/>
              </w:rPr>
            </w:pPr>
          </w:p>
        </w:tc>
        <w:tc>
          <w:tcPr>
            <w:tcW w:w="947" w:type="dxa"/>
          </w:tcPr>
          <w:p w14:paraId="3C1100AF">
            <w:pPr>
              <w:rPr>
                <w:sz w:val="24"/>
              </w:rPr>
            </w:pPr>
          </w:p>
        </w:tc>
        <w:tc>
          <w:tcPr>
            <w:tcW w:w="947" w:type="dxa"/>
          </w:tcPr>
          <w:p w14:paraId="49C5263C">
            <w:pPr>
              <w:rPr>
                <w:sz w:val="24"/>
              </w:rPr>
            </w:pPr>
          </w:p>
        </w:tc>
        <w:tc>
          <w:tcPr>
            <w:tcW w:w="947" w:type="dxa"/>
          </w:tcPr>
          <w:p w14:paraId="2E92B4DC">
            <w:pPr>
              <w:rPr>
                <w:sz w:val="24"/>
              </w:rPr>
            </w:pPr>
          </w:p>
        </w:tc>
        <w:tc>
          <w:tcPr>
            <w:tcW w:w="947" w:type="dxa"/>
          </w:tcPr>
          <w:p w14:paraId="31FA7280">
            <w:pPr>
              <w:rPr>
                <w:sz w:val="24"/>
              </w:rPr>
            </w:pPr>
          </w:p>
        </w:tc>
      </w:tr>
    </w:tbl>
    <w:p w14:paraId="3A643C8D">
      <w:pPr>
        <w:rPr>
          <w:rFonts w:ascii="宋体" w:hAnsi="宋体"/>
          <w:sz w:val="24"/>
        </w:rPr>
      </w:pPr>
    </w:p>
    <w:p w14:paraId="38C5DADF">
      <w:pPr>
        <w:rPr>
          <w:rFonts w:ascii="宋体" w:hAnsi="宋体"/>
          <w:sz w:val="24"/>
        </w:rPr>
      </w:pPr>
    </w:p>
    <w:p w14:paraId="13ACF7F0">
      <w:pPr>
        <w:rPr>
          <w:rFonts w:ascii="宋体" w:hAnsi="宋体"/>
          <w:sz w:val="24"/>
        </w:rPr>
      </w:pPr>
    </w:p>
    <w:p w14:paraId="7F807BAA">
      <w:pPr>
        <w:rPr>
          <w:sz w:val="24"/>
        </w:rPr>
      </w:pPr>
      <w:r>
        <w:rPr>
          <w:rFonts w:hint="eastAsia"/>
          <w:sz w:val="24"/>
        </w:rPr>
        <w:t>供应商名称：XXX（盖单位公章）</w:t>
      </w:r>
    </w:p>
    <w:p w14:paraId="7EB6A31D">
      <w:pPr>
        <w:rPr>
          <w:sz w:val="24"/>
        </w:rPr>
      </w:pPr>
      <w:r>
        <w:rPr>
          <w:rFonts w:hint="eastAsia"/>
          <w:sz w:val="24"/>
        </w:rPr>
        <w:t>法定代表人或授权代表（签字）：XXX</w:t>
      </w:r>
    </w:p>
    <w:p w14:paraId="0C98D3C4">
      <w:pPr>
        <w:rPr>
          <w:sz w:val="24"/>
        </w:rPr>
      </w:pPr>
      <w:r>
        <w:rPr>
          <w:rFonts w:hint="eastAsia"/>
          <w:sz w:val="24"/>
        </w:rPr>
        <w:t>日      期</w:t>
      </w:r>
      <w:r>
        <w:rPr>
          <w:rFonts w:hint="eastAsia" w:ascii="宋体" w:hAnsi="宋体"/>
          <w:sz w:val="24"/>
        </w:rPr>
        <w:t>：</w:t>
      </w:r>
      <w:r>
        <w:rPr>
          <w:rFonts w:hint="eastAsia"/>
          <w:sz w:val="24"/>
        </w:rPr>
        <w:t>XXX</w:t>
      </w:r>
    </w:p>
    <w:p w14:paraId="1D3EF0E9">
      <w:pPr>
        <w:rPr>
          <w:sz w:val="32"/>
          <w:szCs w:val="32"/>
        </w:rPr>
      </w:pPr>
    </w:p>
    <w:p w14:paraId="115E8A56">
      <w:pPr>
        <w:rPr>
          <w:sz w:val="32"/>
          <w:szCs w:val="32"/>
        </w:rPr>
      </w:pPr>
    </w:p>
    <w:p w14:paraId="55DB9FDE">
      <w:pPr>
        <w:rPr>
          <w:sz w:val="32"/>
          <w:szCs w:val="32"/>
        </w:rPr>
      </w:pPr>
    </w:p>
    <w:p w14:paraId="575EE10C">
      <w:pPr>
        <w:rPr>
          <w:sz w:val="24"/>
        </w:rPr>
      </w:pPr>
    </w:p>
    <w:p w14:paraId="6188F68D">
      <w:pPr>
        <w:rPr>
          <w:sz w:val="24"/>
        </w:rPr>
      </w:pPr>
    </w:p>
    <w:p w14:paraId="4EE5D9D3">
      <w:pPr>
        <w:rPr>
          <w:sz w:val="24"/>
        </w:rPr>
      </w:pPr>
    </w:p>
    <w:p w14:paraId="5C38D30F">
      <w:pPr>
        <w:rPr>
          <w:sz w:val="24"/>
        </w:rPr>
      </w:pPr>
    </w:p>
    <w:p w14:paraId="409249E3">
      <w:pPr>
        <w:rPr>
          <w:sz w:val="24"/>
        </w:rPr>
      </w:pPr>
    </w:p>
    <w:p w14:paraId="24C1A49C">
      <w:pPr>
        <w:rPr>
          <w:sz w:val="24"/>
        </w:rPr>
      </w:pPr>
    </w:p>
    <w:p w14:paraId="48E334F7">
      <w:pPr>
        <w:rPr>
          <w:sz w:val="24"/>
        </w:rPr>
      </w:pPr>
    </w:p>
    <w:p w14:paraId="11BE3191">
      <w:pPr>
        <w:rPr>
          <w:sz w:val="24"/>
        </w:rPr>
      </w:pPr>
    </w:p>
    <w:p w14:paraId="6B7EF3CA">
      <w:pPr>
        <w:rPr>
          <w:sz w:val="24"/>
        </w:rPr>
      </w:pPr>
    </w:p>
    <w:p w14:paraId="7D6CCE60">
      <w:pPr>
        <w:rPr>
          <w:sz w:val="24"/>
        </w:rPr>
      </w:pPr>
    </w:p>
    <w:p w14:paraId="72B032D1">
      <w:pPr>
        <w:pStyle w:val="3"/>
      </w:pPr>
    </w:p>
    <w:p w14:paraId="1A76BA39">
      <w:pPr>
        <w:pStyle w:val="3"/>
        <w:rPr>
          <w:sz w:val="24"/>
        </w:rPr>
      </w:pPr>
    </w:p>
    <w:p w14:paraId="546CF70F">
      <w:pPr>
        <w:pStyle w:val="4"/>
        <w:ind w:firstLine="240"/>
        <w:rPr>
          <w:sz w:val="24"/>
        </w:rPr>
      </w:pPr>
    </w:p>
    <w:p w14:paraId="41E169A6">
      <w:pPr>
        <w:pStyle w:val="4"/>
        <w:ind w:left="0" w:leftChars="0" w:firstLine="0" w:firstLineChars="0"/>
        <w:rPr>
          <w:sz w:val="24"/>
          <w:highlight w:val="white"/>
        </w:rPr>
      </w:pPr>
    </w:p>
    <w:p w14:paraId="0B831BEB">
      <w:pPr>
        <w:pStyle w:val="12"/>
        <w:rPr>
          <w:rFonts w:hint="default"/>
        </w:rPr>
      </w:pPr>
      <w:r>
        <w:rPr>
          <w:b/>
          <w:sz w:val="36"/>
        </w:rPr>
        <w:t>第七章 拟签订采购合同文本</w:t>
      </w:r>
    </w:p>
    <w:p w14:paraId="1C8043F9">
      <w:pPr>
        <w:pStyle w:val="12"/>
        <w:jc w:val="center"/>
        <w:outlineLvl w:val="0"/>
        <w:rPr>
          <w:rFonts w:hint="default"/>
          <w:lang w:eastAsia="zh-CN"/>
        </w:rPr>
      </w:pPr>
      <w:r>
        <w:rPr>
          <w:b/>
          <w:sz w:val="48"/>
          <w:lang w:eastAsia="zh-CN"/>
        </w:rPr>
        <w:t>采购合同</w:t>
      </w:r>
    </w:p>
    <w:p w14:paraId="6741AA5D">
      <w:pPr>
        <w:pStyle w:val="12"/>
        <w:jc w:val="center"/>
        <w:outlineLvl w:val="0"/>
        <w:rPr>
          <w:rFonts w:hint="default"/>
        </w:rPr>
      </w:pPr>
      <w:r>
        <w:rPr>
          <w:b/>
          <w:sz w:val="48"/>
        </w:rPr>
        <w:t xml:space="preserve"> （服务类）</w:t>
      </w:r>
    </w:p>
    <w:p w14:paraId="4BC7CF20">
      <w:pPr>
        <w:pStyle w:val="12"/>
        <w:keepNext w:val="0"/>
        <w:keepLines w:val="0"/>
        <w:pageBreakBefore w:val="0"/>
        <w:widowControl/>
        <w:kinsoku/>
        <w:wordWrap/>
        <w:overflowPunct/>
        <w:topLinePunct w:val="0"/>
        <w:autoSpaceDE/>
        <w:autoSpaceDN/>
        <w:bidi w:val="0"/>
        <w:adjustRightInd/>
        <w:snapToGrid/>
        <w:spacing w:line="460" w:lineRule="exact"/>
        <w:ind w:left="1800"/>
        <w:textAlignment w:val="auto"/>
        <w:rPr>
          <w:rFonts w:hint="default"/>
        </w:rPr>
      </w:pPr>
      <w:r>
        <w:rPr>
          <w:b/>
          <w:sz w:val="27"/>
        </w:rPr>
        <w:t xml:space="preserve"> </w:t>
      </w:r>
      <w:r>
        <w:rPr>
          <w:b/>
          <w:sz w:val="27"/>
          <w:lang w:eastAsia="zh-CN"/>
        </w:rPr>
        <w:t>采购合同</w:t>
      </w:r>
      <w:r>
        <w:rPr>
          <w:b/>
          <w:sz w:val="27"/>
        </w:rPr>
        <w:t>编号：__________________</w:t>
      </w:r>
    </w:p>
    <w:p w14:paraId="0F6C007A">
      <w:pPr>
        <w:pStyle w:val="12"/>
        <w:keepNext w:val="0"/>
        <w:keepLines w:val="0"/>
        <w:pageBreakBefore w:val="0"/>
        <w:widowControl/>
        <w:kinsoku/>
        <w:wordWrap/>
        <w:overflowPunct/>
        <w:topLinePunct w:val="0"/>
        <w:autoSpaceDE/>
        <w:autoSpaceDN/>
        <w:bidi w:val="0"/>
        <w:adjustRightInd/>
        <w:snapToGrid/>
        <w:spacing w:line="460" w:lineRule="exact"/>
        <w:textAlignment w:val="auto"/>
        <w:rPr>
          <w:rFonts w:hint="default"/>
        </w:rPr>
      </w:pPr>
      <w:r>
        <w:rPr>
          <w:b/>
          <w:sz w:val="27"/>
        </w:rPr>
        <w:t xml:space="preserve"> 履约地点：__________________</w:t>
      </w:r>
    </w:p>
    <w:p w14:paraId="090F306B">
      <w:pPr>
        <w:pStyle w:val="12"/>
        <w:keepNext w:val="0"/>
        <w:keepLines w:val="0"/>
        <w:pageBreakBefore w:val="0"/>
        <w:widowControl/>
        <w:kinsoku/>
        <w:wordWrap/>
        <w:overflowPunct/>
        <w:topLinePunct w:val="0"/>
        <w:autoSpaceDE/>
        <w:autoSpaceDN/>
        <w:bidi w:val="0"/>
        <w:adjustRightInd/>
        <w:snapToGrid/>
        <w:spacing w:line="460" w:lineRule="exact"/>
        <w:textAlignment w:val="auto"/>
        <w:rPr>
          <w:rFonts w:hint="default"/>
        </w:rPr>
      </w:pPr>
      <w:r>
        <w:rPr>
          <w:b/>
          <w:sz w:val="27"/>
        </w:rPr>
        <w:t xml:space="preserve"> 签订地点：__________________</w:t>
      </w:r>
    </w:p>
    <w:p w14:paraId="03CA231B">
      <w:pPr>
        <w:pStyle w:val="12"/>
        <w:keepNext w:val="0"/>
        <w:keepLines w:val="0"/>
        <w:pageBreakBefore w:val="0"/>
        <w:widowControl/>
        <w:kinsoku/>
        <w:wordWrap/>
        <w:overflowPunct/>
        <w:topLinePunct w:val="0"/>
        <w:autoSpaceDE/>
        <w:autoSpaceDN/>
        <w:bidi w:val="0"/>
        <w:adjustRightInd/>
        <w:snapToGrid/>
        <w:spacing w:line="460" w:lineRule="exact"/>
        <w:textAlignment w:val="auto"/>
        <w:rPr>
          <w:rFonts w:hint="default"/>
        </w:rPr>
      </w:pPr>
      <w:r>
        <w:rPr>
          <w:b/>
          <w:sz w:val="27"/>
        </w:rPr>
        <w:t xml:space="preserve"> 签订时间：20___年___月___日</w:t>
      </w:r>
    </w:p>
    <w:p w14:paraId="3B8FAB66">
      <w:pPr>
        <w:pStyle w:val="12"/>
        <w:keepNext w:val="0"/>
        <w:keepLines w:val="0"/>
        <w:pageBreakBefore w:val="0"/>
        <w:widowControl/>
        <w:kinsoku/>
        <w:wordWrap/>
        <w:overflowPunct/>
        <w:topLinePunct w:val="0"/>
        <w:autoSpaceDE/>
        <w:autoSpaceDN/>
        <w:bidi w:val="0"/>
        <w:adjustRightInd/>
        <w:snapToGrid/>
        <w:spacing w:line="460" w:lineRule="exact"/>
        <w:textAlignment w:val="auto"/>
        <w:rPr>
          <w:rFonts w:hint="default"/>
        </w:rPr>
      </w:pPr>
      <w:r>
        <w:rPr>
          <w:b/>
          <w:sz w:val="27"/>
        </w:rPr>
        <w:t xml:space="preserve"> 采购人（甲方）：__________________</w:t>
      </w:r>
    </w:p>
    <w:p w14:paraId="012AE782">
      <w:pPr>
        <w:pStyle w:val="12"/>
        <w:keepNext w:val="0"/>
        <w:keepLines w:val="0"/>
        <w:pageBreakBefore w:val="0"/>
        <w:widowControl/>
        <w:kinsoku/>
        <w:wordWrap/>
        <w:overflowPunct/>
        <w:topLinePunct w:val="0"/>
        <w:autoSpaceDE/>
        <w:autoSpaceDN/>
        <w:bidi w:val="0"/>
        <w:adjustRightInd/>
        <w:snapToGrid/>
        <w:spacing w:line="460" w:lineRule="exact"/>
        <w:textAlignment w:val="auto"/>
        <w:rPr>
          <w:rFonts w:hint="default"/>
        </w:rPr>
      </w:pPr>
      <w:r>
        <w:rPr>
          <w:b/>
          <w:sz w:val="27"/>
        </w:rPr>
        <w:t xml:space="preserve"> 采购人地址：__________________</w:t>
      </w:r>
    </w:p>
    <w:p w14:paraId="6A35A1D5">
      <w:pPr>
        <w:pStyle w:val="12"/>
        <w:keepNext w:val="0"/>
        <w:keepLines w:val="0"/>
        <w:pageBreakBefore w:val="0"/>
        <w:widowControl/>
        <w:kinsoku/>
        <w:wordWrap/>
        <w:overflowPunct/>
        <w:topLinePunct w:val="0"/>
        <w:autoSpaceDE/>
        <w:autoSpaceDN/>
        <w:bidi w:val="0"/>
        <w:adjustRightInd/>
        <w:snapToGrid/>
        <w:spacing w:line="460" w:lineRule="exact"/>
        <w:textAlignment w:val="auto"/>
        <w:rPr>
          <w:rFonts w:hint="default"/>
        </w:rPr>
      </w:pPr>
      <w:r>
        <w:rPr>
          <w:b/>
          <w:sz w:val="27"/>
        </w:rPr>
        <w:t xml:space="preserve"> 供应商(乙方)：__________________</w:t>
      </w:r>
    </w:p>
    <w:p w14:paraId="5F9B2F6B">
      <w:pPr>
        <w:pStyle w:val="12"/>
        <w:keepNext w:val="0"/>
        <w:keepLines w:val="0"/>
        <w:pageBreakBefore w:val="0"/>
        <w:widowControl/>
        <w:kinsoku/>
        <w:wordWrap/>
        <w:overflowPunct/>
        <w:topLinePunct w:val="0"/>
        <w:autoSpaceDE/>
        <w:autoSpaceDN/>
        <w:bidi w:val="0"/>
        <w:adjustRightInd/>
        <w:snapToGrid/>
        <w:spacing w:line="460" w:lineRule="exact"/>
        <w:textAlignment w:val="auto"/>
        <w:rPr>
          <w:rFonts w:hint="default"/>
        </w:rPr>
      </w:pPr>
      <w:r>
        <w:rPr>
          <w:b/>
          <w:sz w:val="27"/>
        </w:rPr>
        <w:t xml:space="preserve"> 供应商地址：__________________</w:t>
      </w:r>
    </w:p>
    <w:p w14:paraId="4D703B75">
      <w:pPr>
        <w:pStyle w:val="12"/>
        <w:rPr>
          <w:rFonts w:hint="default"/>
        </w:rPr>
      </w:pPr>
      <w:r>
        <w:t xml:space="preserve"> </w:t>
      </w:r>
    </w:p>
    <w:p w14:paraId="58C5C770">
      <w:pPr>
        <w:pStyle w:val="12"/>
        <w:rPr>
          <w:rFonts w:hint="default"/>
        </w:rPr>
      </w:pPr>
      <w:r>
        <w:t xml:space="preserve"> </w:t>
      </w:r>
      <w:r>
        <w:rPr>
          <w:rFonts w:hint="eastAsia"/>
          <w:lang w:val="en-US" w:eastAsia="zh-CN"/>
        </w:rPr>
        <w:t xml:space="preserve">  </w:t>
      </w:r>
      <w:r>
        <w:t>依据《中华人民共和国民法典》 《中华人民共和国政府采购法》与项目行业有关的法律法规，以及________采购项目的 《采购文件》 ，乙方的《投标（响应）文件》及《中标（成交）通知书》，甲乙双方同意签订本合同。具体情况及要求如下：</w:t>
      </w:r>
    </w:p>
    <w:p w14:paraId="50C33887">
      <w:pPr>
        <w:pStyle w:val="12"/>
        <w:numPr>
          <w:ilvl w:val="0"/>
          <w:numId w:val="4"/>
        </w:numPr>
        <w:ind w:left="140" w:leftChars="0" w:firstLine="0" w:firstLineChars="0"/>
        <w:outlineLvl w:val="2"/>
        <w:rPr>
          <w:b/>
          <w:sz w:val="28"/>
        </w:rPr>
      </w:pPr>
      <w:r>
        <w:rPr>
          <w:b/>
          <w:sz w:val="28"/>
        </w:rPr>
        <w:t>标的信息</w:t>
      </w:r>
    </w:p>
    <w:p w14:paraId="474831D9">
      <w:pPr>
        <w:pStyle w:val="12"/>
        <w:numPr>
          <w:ilvl w:val="0"/>
          <w:numId w:val="0"/>
        </w:numPr>
        <w:ind w:left="140" w:leftChars="0" w:firstLine="480" w:firstLineChars="200"/>
        <w:outlineLvl w:val="2"/>
        <w:rPr>
          <w:b/>
          <w:sz w:val="28"/>
        </w:rPr>
      </w:pPr>
      <w:r>
        <w:rPr>
          <w:rFonts w:ascii="宋体" w:hAnsi="宋体" w:eastAsia="宋体" w:cs="宋体"/>
          <w:sz w:val="24"/>
          <w:lang w:eastAsia="zh-CN"/>
        </w:rPr>
        <w:t>邻水县人民医院</w:t>
      </w:r>
      <w:r>
        <w:rPr>
          <w:rFonts w:hint="default" w:ascii="宋体" w:hAnsi="宋体" w:eastAsia="宋体" w:cs="宋体"/>
          <w:sz w:val="24"/>
          <w:lang w:eastAsia="zh-CN"/>
        </w:rPr>
        <w:t>医院食堂面积约300㎡，可容纳近100人就餐。</w:t>
      </w:r>
      <w:r>
        <w:rPr>
          <w:rFonts w:hint="eastAsia" w:ascii="宋体" w:hAnsi="宋体" w:eastAsia="宋体" w:cs="宋体"/>
          <w:sz w:val="24"/>
          <w:lang w:val="en-US" w:eastAsia="zh-CN"/>
        </w:rPr>
        <w:t>为方便医院职工、病员及家属就餐，</w:t>
      </w:r>
      <w:r>
        <w:rPr>
          <w:rStyle w:val="13"/>
          <w:rFonts w:hint="eastAsia" w:ascii="宋体" w:hAnsi="宋体" w:eastAsia="宋体" w:cs="宋体"/>
          <w:b w:val="0"/>
          <w:i w:val="0"/>
          <w:caps w:val="0"/>
          <w:color w:val="333333"/>
          <w:spacing w:val="0"/>
          <w:w w:val="100"/>
          <w:kern w:val="0"/>
          <w:sz w:val="24"/>
          <w:szCs w:val="24"/>
          <w:lang w:val="en-US" w:eastAsia="zh-CN" w:bidi="ar-SA"/>
        </w:rPr>
        <w:t>甲方将医院食堂外包给乙方经营，</w:t>
      </w:r>
      <w:r>
        <w:rPr>
          <w:rFonts w:hint="default" w:ascii="宋体" w:hAnsi="宋体" w:eastAsia="宋体" w:cs="宋体"/>
          <w:sz w:val="24"/>
          <w:lang w:eastAsia="zh-CN"/>
        </w:rPr>
        <w:t>医院提供食堂</w:t>
      </w:r>
      <w:r>
        <w:rPr>
          <w:rFonts w:ascii="宋体" w:hAnsi="宋体" w:eastAsia="宋体" w:cs="宋体"/>
          <w:sz w:val="24"/>
          <w:lang w:eastAsia="zh-CN"/>
        </w:rPr>
        <w:t>主要电器、灶具、餐具等</w:t>
      </w:r>
      <w:r>
        <w:rPr>
          <w:rFonts w:hint="default" w:ascii="宋体" w:hAnsi="宋体" w:eastAsia="宋体" w:cs="宋体"/>
          <w:sz w:val="24"/>
          <w:lang w:eastAsia="zh-CN"/>
        </w:rPr>
        <w:t>设施设备（服务期满按清单交还医院），</w:t>
      </w:r>
      <w:r>
        <w:rPr>
          <w:rFonts w:hint="eastAsia" w:ascii="宋体" w:hAnsi="宋体" w:eastAsia="宋体" w:cs="宋体"/>
          <w:sz w:val="24"/>
          <w:lang w:val="en-US" w:eastAsia="zh-CN"/>
        </w:rPr>
        <w:t>乙方</w:t>
      </w:r>
      <w:r>
        <w:rPr>
          <w:rFonts w:hint="default" w:ascii="宋体" w:hAnsi="宋体" w:eastAsia="宋体" w:cs="宋体"/>
          <w:sz w:val="24"/>
          <w:lang w:eastAsia="zh-CN"/>
        </w:rPr>
        <w:t>负责</w:t>
      </w:r>
      <w:r>
        <w:rPr>
          <w:rFonts w:ascii="宋体" w:hAnsi="宋体" w:eastAsia="宋体" w:cs="宋体"/>
          <w:sz w:val="24"/>
          <w:lang w:eastAsia="zh-CN"/>
        </w:rPr>
        <w:t>经营食堂满足医院</w:t>
      </w:r>
      <w:r>
        <w:rPr>
          <w:rFonts w:hint="default" w:ascii="宋体" w:hAnsi="宋体" w:eastAsia="宋体" w:cs="宋体"/>
          <w:sz w:val="24"/>
          <w:lang w:eastAsia="zh-CN"/>
        </w:rPr>
        <w:t>职工、病员</w:t>
      </w:r>
      <w:r>
        <w:rPr>
          <w:rFonts w:ascii="宋体" w:hAnsi="宋体" w:eastAsia="宋体" w:cs="宋体"/>
          <w:sz w:val="24"/>
          <w:lang w:eastAsia="zh-CN"/>
        </w:rPr>
        <w:t>及家属</w:t>
      </w:r>
      <w:r>
        <w:rPr>
          <w:rFonts w:hint="default" w:ascii="宋体" w:hAnsi="宋体" w:eastAsia="宋体" w:cs="宋体"/>
          <w:sz w:val="24"/>
          <w:lang w:eastAsia="zh-CN"/>
        </w:rPr>
        <w:t>用餐</w:t>
      </w:r>
      <w:r>
        <w:rPr>
          <w:rFonts w:ascii="宋体" w:hAnsi="宋体" w:eastAsia="宋体" w:cs="宋体"/>
          <w:sz w:val="24"/>
        </w:rPr>
        <w:t>。</w:t>
      </w:r>
    </w:p>
    <w:p w14:paraId="64ACA67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13"/>
          <w:rFonts w:hint="eastAsia" w:ascii="宋体" w:hAnsi="宋体" w:eastAsia="宋体" w:cs="宋体"/>
          <w:b/>
          <w:bCs/>
          <w:i w:val="0"/>
          <w:caps w:val="0"/>
          <w:color w:val="333333"/>
          <w:spacing w:val="0"/>
          <w:w w:val="100"/>
          <w:kern w:val="0"/>
          <w:sz w:val="24"/>
          <w:szCs w:val="24"/>
          <w:lang w:val="en-US" w:eastAsia="zh-CN" w:bidi="ar-SA"/>
        </w:rPr>
      </w:pPr>
      <w:r>
        <w:rPr>
          <w:rStyle w:val="13"/>
          <w:rFonts w:hint="eastAsia" w:ascii="黑体" w:hAnsi="黑体" w:eastAsia="黑体" w:cs="黑体"/>
          <w:b/>
          <w:bCs/>
          <w:i w:val="0"/>
          <w:caps w:val="0"/>
          <w:color w:val="333333"/>
          <w:spacing w:val="0"/>
          <w:w w:val="100"/>
          <w:kern w:val="0"/>
          <w:sz w:val="24"/>
          <w:szCs w:val="24"/>
          <w:lang w:val="en-US" w:eastAsia="zh-CN" w:bidi="ar-SA"/>
        </w:rPr>
        <w:t> 二、</w:t>
      </w:r>
      <w:r>
        <w:rPr>
          <w:rStyle w:val="13"/>
          <w:rFonts w:hint="eastAsia" w:ascii="黑体" w:hAnsi="黑体" w:eastAsia="黑体" w:cs="黑体"/>
          <w:b w:val="0"/>
          <w:bCs w:val="0"/>
          <w:i w:val="0"/>
          <w:caps w:val="0"/>
          <w:color w:val="333333"/>
          <w:spacing w:val="0"/>
          <w:w w:val="100"/>
          <w:kern w:val="0"/>
          <w:sz w:val="24"/>
          <w:szCs w:val="24"/>
          <w:lang w:val="en-US" w:eastAsia="zh-CN" w:bidi="ar-SA"/>
        </w:rPr>
        <w:t>外包服务方式</w:t>
      </w:r>
      <w:r>
        <w:rPr>
          <w:rStyle w:val="13"/>
          <w:rFonts w:hint="eastAsia" w:ascii="宋体" w:hAnsi="宋体" w:eastAsia="宋体" w:cs="宋体"/>
          <w:b/>
          <w:bCs/>
          <w:i w:val="0"/>
          <w:caps w:val="0"/>
          <w:color w:val="333333"/>
          <w:spacing w:val="0"/>
          <w:w w:val="100"/>
          <w:kern w:val="0"/>
          <w:sz w:val="24"/>
          <w:szCs w:val="24"/>
          <w:lang w:val="en-US" w:eastAsia="zh-CN" w:bidi="ar-SA"/>
        </w:rPr>
        <w:t> </w:t>
      </w:r>
    </w:p>
    <w:p w14:paraId="710C075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1、甲方将食堂外包给乙方经营，乙方负责供应甲方职工及病员用餐﹙早、中、晚﹚和接待用餐。</w:t>
      </w:r>
    </w:p>
    <w:p w14:paraId="7570743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2、甲方提供食堂部分设施设备，进场前双方将食堂所有物品进行清点登记造册，在交接清单上确认签字后给乙方使用，外包服务期满后乙方应按交接清单上核定的物品（能正常使用）交还甲方。 </w:t>
      </w:r>
    </w:p>
    <w:p w14:paraId="2BBA901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9" w:leftChars="9" w:firstLine="458" w:firstLineChars="191"/>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3、乙方每年向甲方交纳食堂外包服务管理费人民币</w:t>
      </w:r>
      <w:r>
        <w:rPr>
          <w:rStyle w:val="13"/>
          <w:rFonts w:hint="eastAsia" w:ascii="宋体" w:hAnsi="宋体" w:eastAsia="宋体" w:cs="宋体"/>
          <w:b w:val="0"/>
          <w:i w:val="0"/>
          <w:caps w:val="0"/>
          <w:color w:val="333333"/>
          <w:spacing w:val="0"/>
          <w:w w:val="100"/>
          <w:kern w:val="0"/>
          <w:sz w:val="24"/>
          <w:szCs w:val="24"/>
          <w:u w:val="single"/>
          <w:lang w:val="en-US" w:eastAsia="zh-CN" w:bidi="ar-SA"/>
        </w:rPr>
        <w:t xml:space="preserve">     </w:t>
      </w:r>
      <w:r>
        <w:rPr>
          <w:rStyle w:val="13"/>
          <w:rFonts w:hint="eastAsia" w:ascii="宋体" w:hAnsi="宋体" w:eastAsia="宋体" w:cs="宋体"/>
          <w:b w:val="0"/>
          <w:i w:val="0"/>
          <w:caps w:val="0"/>
          <w:color w:val="333333"/>
          <w:spacing w:val="0"/>
          <w:w w:val="100"/>
          <w:kern w:val="0"/>
          <w:sz w:val="24"/>
          <w:szCs w:val="24"/>
          <w:lang w:val="en-US" w:eastAsia="zh-CN" w:bidi="ar-SA"/>
        </w:rPr>
        <w:t>元，大写：</w:t>
      </w:r>
      <w:r>
        <w:rPr>
          <w:rStyle w:val="13"/>
          <w:rFonts w:hint="eastAsia" w:ascii="宋体" w:hAnsi="宋体" w:eastAsia="宋体" w:cs="宋体"/>
          <w:b w:val="0"/>
          <w:i w:val="0"/>
          <w:caps w:val="0"/>
          <w:color w:val="333333"/>
          <w:spacing w:val="0"/>
          <w:w w:val="100"/>
          <w:kern w:val="0"/>
          <w:sz w:val="24"/>
          <w:szCs w:val="24"/>
          <w:u w:val="single"/>
          <w:lang w:val="en-US" w:eastAsia="zh-CN" w:bidi="ar-SA"/>
        </w:rPr>
        <w:t xml:space="preserve">    </w:t>
      </w:r>
      <w:r>
        <w:rPr>
          <w:rStyle w:val="13"/>
          <w:rFonts w:hint="eastAsia" w:ascii="宋体" w:hAnsi="宋体" w:eastAsia="宋体" w:cs="宋体"/>
          <w:b w:val="0"/>
          <w:i w:val="0"/>
          <w:caps w:val="0"/>
          <w:color w:val="333333"/>
          <w:spacing w:val="0"/>
          <w:w w:val="100"/>
          <w:kern w:val="0"/>
          <w:sz w:val="24"/>
          <w:szCs w:val="24"/>
          <w:lang w:val="en-US" w:eastAsia="zh-CN" w:bidi="ar-SA"/>
        </w:rPr>
        <w:t>元整（按中标价折算）。</w:t>
      </w:r>
    </w:p>
    <w:p w14:paraId="780E726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4、乙方一次缴纳外包服务风险抵押金人民币</w:t>
      </w:r>
      <w:r>
        <w:rPr>
          <w:rStyle w:val="13"/>
          <w:rFonts w:hint="eastAsia" w:ascii="宋体" w:hAnsi="宋体" w:eastAsia="宋体" w:cs="宋体"/>
          <w:b w:val="0"/>
          <w:i w:val="0"/>
          <w:caps w:val="0"/>
          <w:color w:val="333333"/>
          <w:spacing w:val="0"/>
          <w:w w:val="100"/>
          <w:kern w:val="0"/>
          <w:sz w:val="24"/>
          <w:szCs w:val="24"/>
          <w:u w:val="single"/>
          <w:lang w:val="en-US" w:eastAsia="zh-CN" w:bidi="ar-SA"/>
        </w:rPr>
        <w:t xml:space="preserve">     </w:t>
      </w:r>
      <w:r>
        <w:rPr>
          <w:rStyle w:val="13"/>
          <w:rFonts w:hint="eastAsia" w:ascii="宋体" w:hAnsi="宋体" w:eastAsia="宋体" w:cs="宋体"/>
          <w:b w:val="0"/>
          <w:i w:val="0"/>
          <w:caps w:val="0"/>
          <w:color w:val="333333"/>
          <w:spacing w:val="0"/>
          <w:w w:val="100"/>
          <w:kern w:val="0"/>
          <w:sz w:val="24"/>
          <w:szCs w:val="24"/>
          <w:lang w:val="en-US" w:eastAsia="zh-CN" w:bidi="ar-SA"/>
        </w:rPr>
        <w:t>元（大写：</w:t>
      </w:r>
      <w:r>
        <w:rPr>
          <w:rStyle w:val="13"/>
          <w:rFonts w:hint="eastAsia" w:ascii="宋体" w:hAnsi="宋体" w:eastAsia="宋体" w:cs="宋体"/>
          <w:b w:val="0"/>
          <w:i w:val="0"/>
          <w:caps w:val="0"/>
          <w:color w:val="333333"/>
          <w:spacing w:val="0"/>
          <w:w w:val="100"/>
          <w:kern w:val="0"/>
          <w:sz w:val="24"/>
          <w:szCs w:val="24"/>
          <w:u w:val="single"/>
          <w:lang w:val="en-US" w:eastAsia="zh-CN" w:bidi="ar-SA"/>
        </w:rPr>
        <w:t xml:space="preserve">   </w:t>
      </w:r>
      <w:r>
        <w:rPr>
          <w:rStyle w:val="13"/>
          <w:rFonts w:hint="eastAsia" w:ascii="宋体" w:hAnsi="宋体" w:eastAsia="宋体" w:cs="宋体"/>
          <w:b w:val="0"/>
          <w:i w:val="0"/>
          <w:caps w:val="0"/>
          <w:color w:val="333333"/>
          <w:spacing w:val="0"/>
          <w:w w:val="100"/>
          <w:kern w:val="0"/>
          <w:sz w:val="24"/>
          <w:szCs w:val="24"/>
          <w:lang w:val="en-US" w:eastAsia="zh-CN" w:bidi="ar-SA"/>
        </w:rPr>
        <w:t>元整）给甲方，合同期满无违约责任，甲方无息退还乙方外包服务风险抵押金。 </w:t>
      </w:r>
    </w:p>
    <w:p w14:paraId="3950F07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jc w:val="left"/>
        <w:textAlignment w:val="baseline"/>
        <w:rPr>
          <w:rStyle w:val="13"/>
          <w:rFonts w:hint="eastAsia" w:ascii="宋体" w:hAnsi="宋体" w:eastAsia="宋体" w:cs="宋体"/>
          <w:b/>
          <w:bCs/>
          <w:i w:val="0"/>
          <w:caps w:val="0"/>
          <w:color w:val="333333"/>
          <w:spacing w:val="0"/>
          <w:w w:val="100"/>
          <w:kern w:val="0"/>
          <w:sz w:val="24"/>
          <w:szCs w:val="24"/>
          <w:lang w:val="en-US" w:eastAsia="zh-CN" w:bidi="ar-SA"/>
        </w:rPr>
      </w:pPr>
      <w:r>
        <w:rPr>
          <w:rStyle w:val="13"/>
          <w:rFonts w:hint="eastAsia" w:ascii="黑体" w:hAnsi="黑体" w:eastAsia="黑体" w:cs="黑体"/>
          <w:b/>
          <w:bCs/>
          <w:i w:val="0"/>
          <w:caps w:val="0"/>
          <w:color w:val="333333"/>
          <w:spacing w:val="0"/>
          <w:w w:val="100"/>
          <w:kern w:val="0"/>
          <w:sz w:val="24"/>
          <w:szCs w:val="24"/>
          <w:lang w:val="en-US" w:eastAsia="zh-CN" w:bidi="ar-SA"/>
        </w:rPr>
        <w:t>三、经营模式</w:t>
      </w:r>
    </w:p>
    <w:p w14:paraId="31AB278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乙方承包医院食堂，在甲方监督和管理下实行自主经营、自负盈亏，以服务为宗旨，通过努力增加菜式品种，提高饭菜质量，物美价廉，薄利多销，改善服务态度，吸引职工、病员就餐等来增加营业额，达到提高收入的目的。</w:t>
      </w:r>
    </w:p>
    <w:p w14:paraId="2F0E125F">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2" w:firstLineChars="200"/>
        <w:jc w:val="left"/>
        <w:textAlignment w:val="baseline"/>
        <w:rPr>
          <w:rStyle w:val="13"/>
          <w:rFonts w:hint="eastAsia" w:ascii="宋体" w:hAnsi="宋体" w:eastAsia="宋体" w:cs="宋体"/>
          <w:b/>
          <w:bCs/>
          <w:i w:val="0"/>
          <w:caps w:val="0"/>
          <w:color w:val="333333"/>
          <w:spacing w:val="0"/>
          <w:w w:val="100"/>
          <w:kern w:val="0"/>
          <w:sz w:val="24"/>
          <w:szCs w:val="24"/>
          <w:lang w:val="en-US" w:eastAsia="zh-CN" w:bidi="ar-SA"/>
        </w:rPr>
      </w:pPr>
      <w:r>
        <w:rPr>
          <w:rStyle w:val="13"/>
          <w:rFonts w:hint="eastAsia" w:ascii="黑体" w:hAnsi="黑体" w:eastAsia="黑体" w:cs="黑体"/>
          <w:b/>
          <w:bCs/>
          <w:i w:val="0"/>
          <w:caps w:val="0"/>
          <w:color w:val="333333"/>
          <w:spacing w:val="0"/>
          <w:w w:val="100"/>
          <w:kern w:val="0"/>
          <w:sz w:val="24"/>
          <w:szCs w:val="24"/>
          <w:lang w:val="en-US" w:eastAsia="zh-CN" w:bidi="ar-SA"/>
        </w:rPr>
        <w:t>四、外包服务期限</w:t>
      </w:r>
      <w:r>
        <w:rPr>
          <w:rStyle w:val="13"/>
          <w:rFonts w:hint="eastAsia" w:ascii="宋体" w:hAnsi="宋体" w:eastAsia="宋体" w:cs="宋体"/>
          <w:b/>
          <w:bCs/>
          <w:i w:val="0"/>
          <w:caps w:val="0"/>
          <w:color w:val="333333"/>
          <w:spacing w:val="0"/>
          <w:w w:val="100"/>
          <w:kern w:val="0"/>
          <w:sz w:val="24"/>
          <w:szCs w:val="24"/>
          <w:lang w:val="en-US" w:eastAsia="zh-CN" w:bidi="ar-SA"/>
        </w:rPr>
        <w:t>     </w:t>
      </w:r>
    </w:p>
    <w:p w14:paraId="0DB80015">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baseline"/>
        <w:rPr>
          <w:rFonts w:hint="default"/>
        </w:rPr>
      </w:pPr>
      <w:r>
        <w:rPr>
          <w:rStyle w:val="13"/>
          <w:rFonts w:hint="eastAsia" w:ascii="宋体" w:hAnsi="宋体" w:eastAsia="宋体" w:cs="宋体"/>
          <w:b w:val="0"/>
          <w:i w:val="0"/>
          <w:caps w:val="0"/>
          <w:color w:val="000000"/>
          <w:spacing w:val="0"/>
          <w:w w:val="100"/>
          <w:kern w:val="2"/>
          <w:sz w:val="24"/>
          <w:szCs w:val="24"/>
          <w:lang w:val="en-US" w:eastAsia="zh-CN" w:bidi="ar-SA"/>
        </w:rPr>
        <w:t>医院食堂外包服务经营管理期限为</w:t>
      </w:r>
      <w:r>
        <w:rPr>
          <w:rStyle w:val="13"/>
          <w:rFonts w:hint="eastAsia" w:ascii="宋体" w:hAnsi="宋体" w:eastAsia="宋体" w:cs="宋体"/>
          <w:b w:val="0"/>
          <w:i w:val="0"/>
          <w:caps w:val="0"/>
          <w:color w:val="000000"/>
          <w:spacing w:val="0"/>
          <w:w w:val="100"/>
          <w:kern w:val="2"/>
          <w:sz w:val="24"/>
          <w:szCs w:val="24"/>
          <w:u w:val="single"/>
          <w:lang w:val="en-US" w:eastAsia="zh-CN" w:bidi="ar-SA"/>
        </w:rPr>
        <w:t xml:space="preserve">   </w:t>
      </w:r>
      <w:r>
        <w:rPr>
          <w:rStyle w:val="13"/>
          <w:rFonts w:hint="eastAsia" w:ascii="宋体" w:hAnsi="宋体" w:eastAsia="宋体" w:cs="宋体"/>
          <w:b w:val="0"/>
          <w:i w:val="0"/>
          <w:caps w:val="0"/>
          <w:color w:val="000000"/>
          <w:spacing w:val="0"/>
          <w:w w:val="100"/>
          <w:kern w:val="2"/>
          <w:sz w:val="24"/>
          <w:szCs w:val="24"/>
          <w:lang w:val="en-US" w:eastAsia="zh-CN" w:bidi="ar-SA"/>
        </w:rPr>
        <w:t>年，</w:t>
      </w:r>
      <w:r>
        <w:rPr>
          <w:rStyle w:val="13"/>
          <w:rFonts w:hint="eastAsia" w:ascii="宋体" w:hAnsi="宋体" w:eastAsia="宋体" w:cs="宋体"/>
          <w:b w:val="0"/>
          <w:i w:val="0"/>
          <w:caps w:val="0"/>
          <w:color w:val="000000"/>
          <w:spacing w:val="0"/>
          <w:w w:val="100"/>
          <w:kern w:val="2"/>
          <w:sz w:val="24"/>
          <w:szCs w:val="24"/>
          <w:u w:val="single"/>
          <w:lang w:val="en-US" w:eastAsia="zh-CN" w:bidi="ar-SA"/>
        </w:rPr>
        <w:t xml:space="preserve">   </w:t>
      </w:r>
      <w:r>
        <w:rPr>
          <w:rStyle w:val="13"/>
          <w:rFonts w:hint="eastAsia" w:ascii="宋体" w:hAnsi="宋体" w:eastAsia="宋体" w:cs="宋体"/>
          <w:b w:val="0"/>
          <w:i w:val="0"/>
          <w:caps w:val="0"/>
          <w:color w:val="333333"/>
          <w:spacing w:val="0"/>
          <w:w w:val="100"/>
          <w:kern w:val="0"/>
          <w:sz w:val="24"/>
          <w:szCs w:val="24"/>
          <w:lang w:val="en-US" w:eastAsia="zh-CN" w:bidi="ar-SA"/>
        </w:rPr>
        <w:t xml:space="preserve">年 </w:t>
      </w:r>
      <w:r>
        <w:rPr>
          <w:rStyle w:val="13"/>
          <w:rFonts w:hint="eastAsia" w:ascii="宋体" w:hAnsi="宋体" w:eastAsia="宋体" w:cs="宋体"/>
          <w:b w:val="0"/>
          <w:i w:val="0"/>
          <w:caps w:val="0"/>
          <w:color w:val="333333"/>
          <w:spacing w:val="0"/>
          <w:w w:val="100"/>
          <w:kern w:val="0"/>
          <w:sz w:val="24"/>
          <w:szCs w:val="24"/>
          <w:u w:val="single"/>
          <w:lang w:val="en-US" w:eastAsia="zh-CN" w:bidi="ar-SA"/>
        </w:rPr>
        <w:t xml:space="preserve">  </w:t>
      </w:r>
      <w:r>
        <w:rPr>
          <w:rStyle w:val="13"/>
          <w:rFonts w:hint="eastAsia" w:ascii="宋体" w:hAnsi="宋体" w:eastAsia="宋体" w:cs="宋体"/>
          <w:b w:val="0"/>
          <w:i w:val="0"/>
          <w:caps w:val="0"/>
          <w:color w:val="333333"/>
          <w:spacing w:val="0"/>
          <w:w w:val="100"/>
          <w:kern w:val="0"/>
          <w:sz w:val="24"/>
          <w:szCs w:val="24"/>
          <w:lang w:val="en-US" w:eastAsia="zh-CN" w:bidi="ar-SA"/>
        </w:rPr>
        <w:t>月</w:t>
      </w:r>
      <w:r>
        <w:rPr>
          <w:rStyle w:val="13"/>
          <w:rFonts w:hint="eastAsia" w:ascii="宋体" w:hAnsi="宋体" w:eastAsia="宋体" w:cs="宋体"/>
          <w:b w:val="0"/>
          <w:i w:val="0"/>
          <w:caps w:val="0"/>
          <w:color w:val="333333"/>
          <w:spacing w:val="0"/>
          <w:w w:val="100"/>
          <w:kern w:val="0"/>
          <w:sz w:val="24"/>
          <w:szCs w:val="24"/>
          <w:u w:val="single"/>
          <w:lang w:val="en-US" w:eastAsia="zh-CN" w:bidi="ar-SA"/>
        </w:rPr>
        <w:t xml:space="preserve">  </w:t>
      </w:r>
      <w:r>
        <w:rPr>
          <w:rStyle w:val="13"/>
          <w:rFonts w:hint="eastAsia" w:ascii="宋体" w:hAnsi="宋体" w:eastAsia="宋体" w:cs="宋体"/>
          <w:b w:val="0"/>
          <w:i w:val="0"/>
          <w:caps w:val="0"/>
          <w:color w:val="333333"/>
          <w:spacing w:val="0"/>
          <w:w w:val="100"/>
          <w:kern w:val="0"/>
          <w:sz w:val="24"/>
          <w:szCs w:val="24"/>
          <w:lang w:val="en-US" w:eastAsia="zh-CN" w:bidi="ar-SA"/>
        </w:rPr>
        <w:t>日</w:t>
      </w:r>
      <w:r>
        <w:rPr>
          <w:rStyle w:val="13"/>
          <w:rFonts w:hint="eastAsia" w:ascii="宋体" w:hAnsi="宋体" w:cs="宋体"/>
          <w:b w:val="0"/>
          <w:i w:val="0"/>
          <w:caps w:val="0"/>
          <w:color w:val="333333"/>
          <w:spacing w:val="0"/>
          <w:w w:val="100"/>
          <w:kern w:val="0"/>
          <w:sz w:val="24"/>
          <w:szCs w:val="24"/>
          <w:lang w:val="en-US" w:eastAsia="zh-CN" w:bidi="ar-SA"/>
        </w:rPr>
        <w:t>至</w:t>
      </w:r>
      <w:r>
        <w:rPr>
          <w:rStyle w:val="13"/>
          <w:rFonts w:hint="eastAsia" w:ascii="宋体" w:hAnsi="宋体" w:eastAsia="宋体" w:cs="宋体"/>
          <w:b w:val="0"/>
          <w:i w:val="0"/>
          <w:caps w:val="0"/>
          <w:color w:val="000000"/>
          <w:spacing w:val="0"/>
          <w:w w:val="100"/>
          <w:kern w:val="2"/>
          <w:sz w:val="24"/>
          <w:szCs w:val="24"/>
          <w:u w:val="single"/>
          <w:lang w:val="en-US" w:eastAsia="zh-CN" w:bidi="ar-SA"/>
        </w:rPr>
        <w:t xml:space="preserve">  </w:t>
      </w:r>
      <w:r>
        <w:rPr>
          <w:rStyle w:val="13"/>
          <w:rFonts w:hint="eastAsia" w:ascii="宋体" w:hAnsi="宋体" w:eastAsia="宋体" w:cs="宋体"/>
          <w:b w:val="0"/>
          <w:i w:val="0"/>
          <w:caps w:val="0"/>
          <w:color w:val="333333"/>
          <w:spacing w:val="0"/>
          <w:w w:val="100"/>
          <w:kern w:val="0"/>
          <w:sz w:val="24"/>
          <w:szCs w:val="24"/>
          <w:lang w:val="en-US" w:eastAsia="zh-CN" w:bidi="ar-SA"/>
        </w:rPr>
        <w:t>年</w:t>
      </w:r>
      <w:r>
        <w:rPr>
          <w:rStyle w:val="13"/>
          <w:rFonts w:hint="eastAsia" w:ascii="宋体" w:hAnsi="宋体" w:eastAsia="宋体" w:cs="宋体"/>
          <w:b w:val="0"/>
          <w:i w:val="0"/>
          <w:caps w:val="0"/>
          <w:color w:val="333333"/>
          <w:spacing w:val="0"/>
          <w:w w:val="100"/>
          <w:kern w:val="0"/>
          <w:sz w:val="24"/>
          <w:szCs w:val="24"/>
          <w:u w:val="single"/>
          <w:lang w:val="en-US" w:eastAsia="zh-CN" w:bidi="ar-SA"/>
        </w:rPr>
        <w:t xml:space="preserve">  </w:t>
      </w:r>
      <w:r>
        <w:rPr>
          <w:rStyle w:val="13"/>
          <w:rFonts w:hint="eastAsia" w:ascii="宋体" w:hAnsi="宋体" w:eastAsia="宋体" w:cs="宋体"/>
          <w:b w:val="0"/>
          <w:i w:val="0"/>
          <w:caps w:val="0"/>
          <w:color w:val="333333"/>
          <w:spacing w:val="0"/>
          <w:w w:val="100"/>
          <w:kern w:val="0"/>
          <w:sz w:val="24"/>
          <w:szCs w:val="24"/>
          <w:lang w:val="en-US" w:eastAsia="zh-CN" w:bidi="ar-SA"/>
        </w:rPr>
        <w:t>月</w:t>
      </w:r>
      <w:r>
        <w:rPr>
          <w:rStyle w:val="13"/>
          <w:rFonts w:hint="eastAsia" w:ascii="宋体" w:hAnsi="宋体" w:eastAsia="宋体" w:cs="宋体"/>
          <w:b w:val="0"/>
          <w:i w:val="0"/>
          <w:caps w:val="0"/>
          <w:color w:val="333333"/>
          <w:spacing w:val="0"/>
          <w:w w:val="100"/>
          <w:kern w:val="0"/>
          <w:sz w:val="24"/>
          <w:szCs w:val="24"/>
          <w:u w:val="single"/>
          <w:lang w:val="en-US" w:eastAsia="zh-CN" w:bidi="ar-SA"/>
        </w:rPr>
        <w:t xml:space="preserve">  </w:t>
      </w:r>
      <w:r>
        <w:rPr>
          <w:rStyle w:val="13"/>
          <w:rFonts w:hint="eastAsia" w:ascii="宋体" w:hAnsi="宋体" w:eastAsia="宋体" w:cs="宋体"/>
          <w:b w:val="0"/>
          <w:i w:val="0"/>
          <w:caps w:val="0"/>
          <w:color w:val="333333"/>
          <w:spacing w:val="0"/>
          <w:w w:val="100"/>
          <w:kern w:val="0"/>
          <w:sz w:val="24"/>
          <w:szCs w:val="24"/>
          <w:lang w:val="en-US" w:eastAsia="zh-CN" w:bidi="ar-SA"/>
        </w:rPr>
        <w:t>日。</w:t>
      </w:r>
    </w:p>
    <w:p w14:paraId="2FA8DEB7">
      <w:pPr>
        <w:pStyle w:val="12"/>
        <w:numPr>
          <w:ilvl w:val="0"/>
          <w:numId w:val="5"/>
        </w:numPr>
        <w:ind w:left="420" w:leftChars="0" w:firstLine="0" w:firstLineChars="0"/>
        <w:outlineLvl w:val="2"/>
        <w:rPr>
          <w:b/>
          <w:sz w:val="28"/>
        </w:rPr>
      </w:pPr>
      <w:r>
        <w:rPr>
          <w:rFonts w:hint="eastAsia"/>
          <w:b/>
          <w:sz w:val="28"/>
          <w:lang w:val="en-US" w:eastAsia="zh-CN"/>
        </w:rPr>
        <w:t>考核</w:t>
      </w:r>
      <w:r>
        <w:rPr>
          <w:b/>
          <w:sz w:val="28"/>
        </w:rPr>
        <w:t>标准</w:t>
      </w:r>
      <w:r>
        <w:rPr>
          <w:rFonts w:hint="eastAsia"/>
          <w:b/>
          <w:sz w:val="28"/>
          <w:lang w:val="en-US" w:eastAsia="zh-CN"/>
        </w:rPr>
        <w:t>及结果运用</w:t>
      </w:r>
    </w:p>
    <w:p w14:paraId="4E263777">
      <w:pPr>
        <w:pStyle w:val="12"/>
        <w:ind w:firstLine="480"/>
        <w:rPr>
          <w:rFonts w:hint="default" w:ascii="宋体" w:hAnsi="宋体" w:eastAsia="宋体" w:cs="宋体"/>
          <w:sz w:val="24"/>
        </w:rPr>
      </w:pPr>
      <w:r>
        <w:rPr>
          <w:rFonts w:hint="eastAsia" w:ascii="宋体" w:hAnsi="宋体" w:eastAsia="宋体" w:cs="宋体"/>
          <w:sz w:val="24"/>
          <w:lang w:val="en-US" w:eastAsia="zh-CN"/>
        </w:rPr>
        <w:t>甲方</w:t>
      </w:r>
      <w:r>
        <w:rPr>
          <w:rFonts w:ascii="宋体" w:hAnsi="宋体" w:eastAsia="宋体" w:cs="宋体"/>
          <w:sz w:val="24"/>
          <w:lang w:eastAsia="zh-CN"/>
        </w:rPr>
        <w:t>每月对医院食堂外包服务进行考核</w:t>
      </w:r>
      <w:r>
        <w:rPr>
          <w:rFonts w:hint="eastAsia" w:ascii="宋体" w:hAnsi="宋体" w:eastAsia="宋体" w:cs="宋体"/>
          <w:sz w:val="24"/>
          <w:lang w:eastAsia="zh-CN"/>
        </w:rPr>
        <w:t>，</w:t>
      </w:r>
      <w:r>
        <w:rPr>
          <w:rFonts w:hint="eastAsia" w:ascii="宋体" w:hAnsi="宋体" w:eastAsia="宋体" w:cs="宋体"/>
          <w:sz w:val="24"/>
          <w:lang w:val="en-US" w:eastAsia="zh-CN"/>
        </w:rPr>
        <w:t>乙方</w:t>
      </w:r>
      <w:r>
        <w:rPr>
          <w:rFonts w:ascii="宋体" w:hAnsi="宋体" w:eastAsia="宋体" w:cs="宋体"/>
          <w:sz w:val="24"/>
          <w:lang w:eastAsia="zh-CN"/>
        </w:rPr>
        <w:t>按邻水县人民医院食堂外包服务考核</w:t>
      </w:r>
      <w:r>
        <w:rPr>
          <w:rFonts w:ascii="宋体" w:hAnsi="宋体" w:eastAsia="宋体" w:cs="宋体"/>
          <w:color w:val="000000" w:themeColor="text1"/>
          <w:sz w:val="24"/>
          <w:lang w:eastAsia="zh-CN"/>
          <w14:textFill>
            <w14:solidFill>
              <w14:schemeClr w14:val="tx1"/>
            </w14:solidFill>
          </w14:textFill>
        </w:rPr>
        <w:t>结果运用向医院上交违约金</w:t>
      </w:r>
      <w:r>
        <w:rPr>
          <w:rFonts w:ascii="宋体" w:hAnsi="宋体" w:eastAsia="宋体" w:cs="宋体"/>
          <w:color w:val="FF0000"/>
          <w:sz w:val="24"/>
          <w:lang w:eastAsia="zh-CN"/>
        </w:rPr>
        <w:t>。</w:t>
      </w:r>
    </w:p>
    <w:p w14:paraId="33F4AB46">
      <w:pPr>
        <w:pStyle w:val="12"/>
        <w:jc w:val="center"/>
        <w:rPr>
          <w:rFonts w:hint="default" w:eastAsia="仿宋"/>
          <w:b/>
          <w:bCs/>
          <w:lang w:eastAsia="zh-CN"/>
        </w:rPr>
      </w:pPr>
      <w:r>
        <w:rPr>
          <w:rFonts w:ascii="宋体" w:hAnsi="宋体" w:eastAsia="宋体" w:cs="宋体"/>
          <w:b/>
          <w:bCs/>
          <w:sz w:val="24"/>
          <w:lang w:eastAsia="zh-CN"/>
        </w:rPr>
        <w:t>邻水县人民医院食堂外包服务考核标准</w:t>
      </w:r>
    </w:p>
    <w:tbl>
      <w:tblPr>
        <w:tblStyle w:val="8"/>
        <w:tblW w:w="9098"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86"/>
        <w:gridCol w:w="4825"/>
        <w:gridCol w:w="2237"/>
        <w:gridCol w:w="750"/>
      </w:tblGrid>
      <w:tr w14:paraId="7E49DF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2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1906FA8">
            <w:pPr>
              <w:widowControl/>
              <w:spacing w:line="280" w:lineRule="exact"/>
              <w:jc w:val="center"/>
              <w:textAlignment w:val="baseline"/>
            </w:pPr>
            <w:r>
              <w:rPr>
                <w:rFonts w:hint="eastAsia"/>
              </w:rPr>
              <w:t>考核项目</w:t>
            </w:r>
          </w:p>
        </w:tc>
        <w:tc>
          <w:tcPr>
            <w:tcW w:w="4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5D9D987">
            <w:pPr>
              <w:widowControl/>
              <w:spacing w:line="280" w:lineRule="exact"/>
              <w:jc w:val="center"/>
              <w:textAlignment w:val="baseline"/>
            </w:pPr>
            <w:r>
              <w:rPr>
                <w:rFonts w:hint="eastAsia"/>
              </w:rPr>
              <w:t>考核具体内容</w:t>
            </w:r>
          </w:p>
        </w:tc>
        <w:tc>
          <w:tcPr>
            <w:tcW w:w="22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67FEC50">
            <w:pPr>
              <w:widowControl/>
              <w:spacing w:line="280" w:lineRule="exact"/>
              <w:jc w:val="center"/>
              <w:textAlignment w:val="baseline"/>
            </w:pPr>
            <w:r>
              <w:rPr>
                <w:rFonts w:hint="eastAsia"/>
              </w:rPr>
              <w:t>评分标准</w:t>
            </w:r>
          </w:p>
        </w:tc>
        <w:tc>
          <w:tcPr>
            <w:tcW w:w="7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BCD8CDF">
            <w:pPr>
              <w:widowControl/>
              <w:spacing w:line="280" w:lineRule="exact"/>
              <w:jc w:val="center"/>
              <w:rPr>
                <w:sz w:val="20"/>
                <w:szCs w:val="22"/>
              </w:rPr>
            </w:pPr>
            <w:r>
              <w:rPr>
                <w:rFonts w:hint="eastAsia" w:ascii="方正仿宋_GBK" w:hAnsi="方正仿宋_GBK" w:eastAsia="方正仿宋_GBK" w:cs="方正仿宋_GBK"/>
                <w:b/>
                <w:bCs/>
                <w:color w:val="333333"/>
                <w:kern w:val="0"/>
                <w:sz w:val="22"/>
                <w:szCs w:val="22"/>
                <w:lang w:bidi="ar"/>
              </w:rPr>
              <w:t>得分</w:t>
            </w:r>
          </w:p>
        </w:tc>
      </w:tr>
      <w:tr w14:paraId="2E691D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DAD3605">
            <w:pPr>
              <w:widowControl/>
              <w:spacing w:line="280" w:lineRule="exact"/>
              <w:jc w:val="center"/>
              <w:textAlignment w:val="baseline"/>
            </w:pPr>
            <w:r>
              <w:rPr>
                <w:rFonts w:hint="eastAsia"/>
              </w:rPr>
              <w:t>工作人员</w:t>
            </w:r>
          </w:p>
          <w:p w14:paraId="171E494F">
            <w:pPr>
              <w:widowControl/>
              <w:spacing w:line="280" w:lineRule="exact"/>
              <w:jc w:val="center"/>
              <w:textAlignment w:val="baseline"/>
            </w:pPr>
            <w:r>
              <w:rPr>
                <w:rFonts w:hint="eastAsia"/>
              </w:rPr>
              <w:t>（6分）</w:t>
            </w:r>
          </w:p>
        </w:tc>
        <w:tc>
          <w:tcPr>
            <w:tcW w:w="4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EBEFA88">
            <w:pPr>
              <w:widowControl/>
              <w:spacing w:line="280" w:lineRule="exact"/>
              <w:jc w:val="left"/>
              <w:textAlignment w:val="baseline"/>
            </w:pPr>
            <w:r>
              <w:rPr>
                <w:rFonts w:hint="eastAsia"/>
              </w:rPr>
              <w:t>工作人员持有效证件上岗，着装规范整洁；工作人员数量、资质满足投标文件。</w:t>
            </w:r>
          </w:p>
        </w:tc>
        <w:tc>
          <w:tcPr>
            <w:tcW w:w="22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4F59E26">
            <w:pPr>
              <w:widowControl/>
              <w:spacing w:line="280" w:lineRule="exact"/>
              <w:jc w:val="left"/>
              <w:textAlignment w:val="baseline"/>
            </w:pPr>
            <w:r>
              <w:rPr>
                <w:rFonts w:hint="eastAsia"/>
              </w:rPr>
              <w:t>有一项</w:t>
            </w:r>
            <w:r>
              <w:rPr>
                <w:rFonts w:hint="eastAsia"/>
                <w:lang w:val="en-US" w:eastAsia="zh-CN"/>
              </w:rPr>
              <w:t>不符合</w:t>
            </w:r>
            <w:r>
              <w:rPr>
                <w:rFonts w:hint="eastAsia"/>
              </w:rPr>
              <w:t>扣1分</w:t>
            </w:r>
          </w:p>
        </w:tc>
        <w:tc>
          <w:tcPr>
            <w:tcW w:w="7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6684A28">
            <w:pPr>
              <w:pStyle w:val="12"/>
              <w:ind w:firstLine="448"/>
              <w:jc w:val="center"/>
              <w:rPr>
                <w:rFonts w:hint="default"/>
              </w:rPr>
            </w:pPr>
          </w:p>
        </w:tc>
      </w:tr>
      <w:tr w14:paraId="126C8A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B287AA2">
            <w:pPr>
              <w:widowControl/>
              <w:spacing w:line="280" w:lineRule="exact"/>
              <w:jc w:val="center"/>
              <w:textAlignment w:val="baseline"/>
            </w:pPr>
            <w:r>
              <w:rPr>
                <w:rFonts w:hint="eastAsia"/>
              </w:rPr>
              <w:t>原材料采购</w:t>
            </w:r>
          </w:p>
          <w:p w14:paraId="2D0BA3ED">
            <w:pPr>
              <w:widowControl/>
              <w:spacing w:line="280" w:lineRule="exact"/>
              <w:jc w:val="center"/>
              <w:textAlignment w:val="baseline"/>
            </w:pPr>
            <w:r>
              <w:rPr>
                <w:rFonts w:hint="eastAsia"/>
              </w:rPr>
              <w:t>（10分）</w:t>
            </w:r>
          </w:p>
        </w:tc>
        <w:tc>
          <w:tcPr>
            <w:tcW w:w="48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E08707C">
            <w:pPr>
              <w:widowControl/>
              <w:spacing w:line="280" w:lineRule="exact"/>
              <w:jc w:val="left"/>
              <w:textAlignment w:val="baseline"/>
            </w:pPr>
            <w:r>
              <w:rPr>
                <w:rFonts w:hint="eastAsia"/>
              </w:rPr>
              <w:t>米、面、油、肉等主要原材料从正规渠道进货，大件货物与供货商签订供货合同，有合格证或销售许可并建立台账。原材料采购满足投标文件。</w:t>
            </w:r>
          </w:p>
        </w:tc>
        <w:tc>
          <w:tcPr>
            <w:tcW w:w="223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D024FE7">
            <w:pPr>
              <w:widowControl/>
              <w:spacing w:line="280" w:lineRule="exact"/>
              <w:jc w:val="left"/>
              <w:textAlignment w:val="baseline"/>
            </w:pPr>
            <w:r>
              <w:rPr>
                <w:rFonts w:hint="eastAsia"/>
              </w:rPr>
              <w:t>有一项</w:t>
            </w:r>
            <w:r>
              <w:rPr>
                <w:rFonts w:hint="eastAsia"/>
                <w:lang w:val="en-US" w:eastAsia="zh-CN"/>
              </w:rPr>
              <w:t>不符合</w:t>
            </w:r>
            <w:r>
              <w:rPr>
                <w:rFonts w:hint="eastAsia"/>
              </w:rPr>
              <w:t>扣1分</w:t>
            </w:r>
          </w:p>
        </w:tc>
        <w:tc>
          <w:tcPr>
            <w:tcW w:w="750" w:type="dxa"/>
            <w:tcBorders>
              <w:top w:val="nil"/>
              <w:left w:val="nil"/>
              <w:bottom w:val="single" w:color="000000" w:sz="4" w:space="0"/>
              <w:right w:val="single" w:color="000000" w:sz="4" w:space="0"/>
            </w:tcBorders>
            <w:tcMar>
              <w:top w:w="0" w:type="dxa"/>
              <w:left w:w="105" w:type="dxa"/>
              <w:bottom w:w="0" w:type="dxa"/>
              <w:right w:w="105" w:type="dxa"/>
            </w:tcMar>
          </w:tcPr>
          <w:p w14:paraId="43414669">
            <w:pPr>
              <w:pStyle w:val="12"/>
              <w:ind w:firstLine="448"/>
              <w:jc w:val="center"/>
              <w:rPr>
                <w:rFonts w:hint="default"/>
              </w:rPr>
            </w:pPr>
          </w:p>
        </w:tc>
      </w:tr>
      <w:tr w14:paraId="76CB3A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F4B7A0A">
            <w:pPr>
              <w:widowControl/>
              <w:spacing w:line="280" w:lineRule="exact"/>
              <w:jc w:val="center"/>
              <w:textAlignment w:val="baseline"/>
            </w:pPr>
            <w:r>
              <w:rPr>
                <w:rFonts w:hint="eastAsia"/>
              </w:rPr>
              <w:t>原材料管理</w:t>
            </w:r>
          </w:p>
          <w:p w14:paraId="0EB2D9C3">
            <w:pPr>
              <w:widowControl/>
              <w:spacing w:line="280" w:lineRule="exact"/>
              <w:jc w:val="center"/>
              <w:textAlignment w:val="baseline"/>
            </w:pPr>
            <w:r>
              <w:rPr>
                <w:rFonts w:hint="eastAsia"/>
              </w:rPr>
              <w:t>（10）</w:t>
            </w:r>
          </w:p>
        </w:tc>
        <w:tc>
          <w:tcPr>
            <w:tcW w:w="48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94DAA60">
            <w:pPr>
              <w:widowControl/>
              <w:spacing w:line="280" w:lineRule="exact"/>
              <w:jc w:val="left"/>
              <w:textAlignment w:val="baseline"/>
            </w:pPr>
            <w:r>
              <w:rPr>
                <w:rFonts w:hint="eastAsia"/>
              </w:rPr>
              <w:t>所有原材料（成品、半成品、生、熟食等）标识清楚分区分类规范存放，剩余有效期≥1/4质保期，蔬菜新鲜、按规范清洗、洁净无污染。原材料管理满足投标文件。</w:t>
            </w:r>
          </w:p>
        </w:tc>
        <w:tc>
          <w:tcPr>
            <w:tcW w:w="223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647997B">
            <w:pPr>
              <w:widowControl/>
              <w:spacing w:line="280" w:lineRule="exact"/>
              <w:jc w:val="left"/>
              <w:textAlignment w:val="baseline"/>
            </w:pPr>
            <w:r>
              <w:rPr>
                <w:rFonts w:hint="eastAsia"/>
              </w:rPr>
              <w:t>有一项</w:t>
            </w:r>
            <w:r>
              <w:rPr>
                <w:rFonts w:hint="eastAsia"/>
                <w:lang w:val="en-US" w:eastAsia="zh-CN"/>
              </w:rPr>
              <w:t>不符合</w:t>
            </w:r>
            <w:r>
              <w:rPr>
                <w:rFonts w:hint="eastAsia"/>
              </w:rPr>
              <w:t>扣1分，有20%的食品剩余有效期</w:t>
            </w:r>
            <w:r>
              <w:rPr>
                <w:rFonts w:hint="eastAsia"/>
                <w:lang w:val="en-US" w:eastAsia="zh-CN"/>
              </w:rPr>
              <w:t>＜</w:t>
            </w:r>
            <w:r>
              <w:rPr>
                <w:rFonts w:hint="eastAsia"/>
              </w:rPr>
              <w:t>1/4质保期，直接扣10分。</w:t>
            </w:r>
          </w:p>
        </w:tc>
        <w:tc>
          <w:tcPr>
            <w:tcW w:w="750" w:type="dxa"/>
            <w:tcBorders>
              <w:top w:val="nil"/>
              <w:left w:val="nil"/>
              <w:bottom w:val="single" w:color="000000" w:sz="4" w:space="0"/>
              <w:right w:val="single" w:color="000000" w:sz="4" w:space="0"/>
            </w:tcBorders>
            <w:tcMar>
              <w:top w:w="0" w:type="dxa"/>
              <w:left w:w="105" w:type="dxa"/>
              <w:bottom w:w="0" w:type="dxa"/>
              <w:right w:w="105" w:type="dxa"/>
            </w:tcMar>
          </w:tcPr>
          <w:p w14:paraId="777ED002">
            <w:pPr>
              <w:pStyle w:val="12"/>
              <w:ind w:firstLine="448"/>
              <w:jc w:val="center"/>
              <w:rPr>
                <w:rFonts w:hint="default"/>
              </w:rPr>
            </w:pPr>
          </w:p>
        </w:tc>
      </w:tr>
      <w:tr w14:paraId="4035B6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2E3DE5B">
            <w:pPr>
              <w:widowControl/>
              <w:spacing w:line="280" w:lineRule="exact"/>
              <w:jc w:val="center"/>
              <w:textAlignment w:val="baseline"/>
            </w:pPr>
            <w:r>
              <w:rPr>
                <w:rFonts w:hint="eastAsia"/>
              </w:rPr>
              <w:t>环境卫生</w:t>
            </w:r>
          </w:p>
          <w:p w14:paraId="487E8EE1">
            <w:pPr>
              <w:widowControl/>
              <w:spacing w:line="280" w:lineRule="exact"/>
              <w:jc w:val="center"/>
              <w:textAlignment w:val="baseline"/>
            </w:pPr>
            <w:r>
              <w:rPr>
                <w:rFonts w:hint="eastAsia"/>
              </w:rPr>
              <w:t>（6分）</w:t>
            </w:r>
          </w:p>
        </w:tc>
        <w:tc>
          <w:tcPr>
            <w:tcW w:w="48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CC4680E">
            <w:pPr>
              <w:widowControl/>
              <w:spacing w:line="280" w:lineRule="exact"/>
              <w:jc w:val="left"/>
              <w:textAlignment w:val="baseline"/>
            </w:pPr>
            <w:r>
              <w:rPr>
                <w:rFonts w:hint="eastAsia"/>
              </w:rPr>
              <w:t>厨房、库房、准备间、清洗池、售饭台等整洁，食堂地板、餐桌椅整洁无油污，墙壁、门窗、顶整洁无蛛网，餐具清洁每餐消毒，厕所及周围环境整洁无异味。</w:t>
            </w:r>
            <w:r>
              <w:rPr>
                <w:rFonts w:hint="eastAsia"/>
                <w:color w:val="000000" w:themeColor="text1"/>
                <w14:textFill>
                  <w14:solidFill>
                    <w14:schemeClr w14:val="tx1"/>
                  </w14:solidFill>
                </w14:textFill>
              </w:rPr>
              <w:t>下水道堵塞需当日疏通。</w:t>
            </w:r>
          </w:p>
        </w:tc>
        <w:tc>
          <w:tcPr>
            <w:tcW w:w="223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36F63F0">
            <w:pPr>
              <w:widowControl/>
              <w:spacing w:line="280" w:lineRule="exact"/>
              <w:jc w:val="left"/>
              <w:textAlignment w:val="baseline"/>
            </w:pPr>
            <w:r>
              <w:rPr>
                <w:rFonts w:hint="eastAsia"/>
              </w:rPr>
              <w:t>有一项</w:t>
            </w:r>
            <w:r>
              <w:rPr>
                <w:rFonts w:hint="eastAsia"/>
                <w:lang w:val="en-US" w:eastAsia="zh-CN"/>
              </w:rPr>
              <w:t>不符合</w:t>
            </w:r>
            <w:r>
              <w:rPr>
                <w:rFonts w:hint="eastAsia"/>
              </w:rPr>
              <w:t>扣1分。</w:t>
            </w:r>
          </w:p>
        </w:tc>
        <w:tc>
          <w:tcPr>
            <w:tcW w:w="750" w:type="dxa"/>
            <w:tcBorders>
              <w:top w:val="nil"/>
              <w:left w:val="nil"/>
              <w:bottom w:val="single" w:color="000000" w:sz="4" w:space="0"/>
              <w:right w:val="single" w:color="000000" w:sz="4" w:space="0"/>
            </w:tcBorders>
            <w:tcMar>
              <w:top w:w="0" w:type="dxa"/>
              <w:left w:w="105" w:type="dxa"/>
              <w:bottom w:w="0" w:type="dxa"/>
              <w:right w:w="105" w:type="dxa"/>
            </w:tcMar>
          </w:tcPr>
          <w:p w14:paraId="2F81CA84">
            <w:pPr>
              <w:pStyle w:val="12"/>
              <w:ind w:firstLine="448"/>
              <w:jc w:val="center"/>
              <w:rPr>
                <w:rFonts w:hint="default"/>
              </w:rPr>
            </w:pPr>
          </w:p>
        </w:tc>
      </w:tr>
      <w:tr w14:paraId="5CC3B8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15D890A">
            <w:pPr>
              <w:widowControl/>
              <w:spacing w:line="280" w:lineRule="exact"/>
              <w:jc w:val="center"/>
              <w:textAlignment w:val="baseline"/>
            </w:pPr>
            <w:r>
              <w:rPr>
                <w:rFonts w:hint="eastAsia"/>
              </w:rPr>
              <w:t>食堂安全</w:t>
            </w:r>
          </w:p>
          <w:p w14:paraId="74C0E66F">
            <w:pPr>
              <w:widowControl/>
              <w:spacing w:line="280" w:lineRule="exact"/>
              <w:jc w:val="center"/>
              <w:textAlignment w:val="baseline"/>
            </w:pPr>
            <w:r>
              <w:rPr>
                <w:rFonts w:hint="eastAsia"/>
              </w:rPr>
              <w:t xml:space="preserve"> （10分）</w:t>
            </w:r>
          </w:p>
        </w:tc>
        <w:tc>
          <w:tcPr>
            <w:tcW w:w="4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64305FA">
            <w:pPr>
              <w:widowControl/>
              <w:spacing w:line="280" w:lineRule="exact"/>
              <w:jc w:val="left"/>
              <w:textAlignment w:val="baseline"/>
            </w:pPr>
            <w:r>
              <w:rPr>
                <w:rFonts w:hint="eastAsia"/>
              </w:rPr>
              <w:t>不出售过期、变质食品，按规范做好食品留样工作。食堂电器设备、燃气及灶具安全正常运行，每半月清洗油烟道，做好消防巡查及记录。</w:t>
            </w:r>
          </w:p>
        </w:tc>
        <w:tc>
          <w:tcPr>
            <w:tcW w:w="22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224BC98">
            <w:pPr>
              <w:widowControl/>
              <w:spacing w:line="280" w:lineRule="exact"/>
              <w:jc w:val="left"/>
              <w:textAlignment w:val="baseline"/>
            </w:pPr>
            <w:r>
              <w:rPr>
                <w:rFonts w:hint="eastAsia"/>
              </w:rPr>
              <w:t>有一项</w:t>
            </w:r>
            <w:r>
              <w:rPr>
                <w:rFonts w:hint="eastAsia"/>
                <w:lang w:val="en-US" w:eastAsia="zh-CN"/>
              </w:rPr>
              <w:t>不符合</w:t>
            </w:r>
            <w:r>
              <w:rPr>
                <w:rFonts w:hint="eastAsia"/>
              </w:rPr>
              <w:t>扣2分；如出售过期、变质食品扣10分</w:t>
            </w:r>
          </w:p>
        </w:tc>
        <w:tc>
          <w:tcPr>
            <w:tcW w:w="7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BE4369F">
            <w:pPr>
              <w:pStyle w:val="12"/>
              <w:ind w:firstLine="448"/>
              <w:jc w:val="center"/>
              <w:rPr>
                <w:rFonts w:hint="default"/>
              </w:rPr>
            </w:pPr>
          </w:p>
        </w:tc>
      </w:tr>
      <w:tr w14:paraId="726EE9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6F5BB4B">
            <w:pPr>
              <w:widowControl/>
              <w:spacing w:line="280" w:lineRule="exact"/>
              <w:jc w:val="center"/>
              <w:textAlignment w:val="baseline"/>
            </w:pPr>
            <w:r>
              <w:rPr>
                <w:rFonts w:hint="eastAsia"/>
              </w:rPr>
              <w:t>服务质量</w:t>
            </w:r>
          </w:p>
          <w:p w14:paraId="022B8741">
            <w:pPr>
              <w:widowControl/>
              <w:spacing w:line="280" w:lineRule="exact"/>
              <w:jc w:val="center"/>
              <w:textAlignment w:val="baseline"/>
            </w:pPr>
            <w:r>
              <w:rPr>
                <w:rFonts w:hint="eastAsia"/>
              </w:rPr>
              <w:t> （6分）</w:t>
            </w:r>
          </w:p>
        </w:tc>
        <w:tc>
          <w:tcPr>
            <w:tcW w:w="48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9BC3AAA">
            <w:pPr>
              <w:widowControl/>
              <w:spacing w:line="280" w:lineRule="exact"/>
              <w:jc w:val="left"/>
              <w:textAlignment w:val="baseline"/>
            </w:pPr>
            <w:r>
              <w:rPr>
                <w:rFonts w:hint="eastAsia"/>
              </w:rPr>
              <w:t>配送餐时间满足需求，菜品种类满足投标文件，饭菜质量满足大众需求，按要求上报食谱。</w:t>
            </w:r>
          </w:p>
        </w:tc>
        <w:tc>
          <w:tcPr>
            <w:tcW w:w="223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E746CD5">
            <w:pPr>
              <w:widowControl/>
              <w:spacing w:line="280" w:lineRule="exact"/>
              <w:jc w:val="left"/>
              <w:textAlignment w:val="baseline"/>
            </w:pPr>
            <w:r>
              <w:rPr>
                <w:rFonts w:hint="eastAsia"/>
              </w:rPr>
              <w:t>有一项</w:t>
            </w:r>
            <w:r>
              <w:rPr>
                <w:rFonts w:hint="eastAsia"/>
                <w:lang w:val="en-US" w:eastAsia="zh-CN"/>
              </w:rPr>
              <w:t>不符合</w:t>
            </w:r>
            <w:r>
              <w:rPr>
                <w:rFonts w:hint="eastAsia"/>
              </w:rPr>
              <w:t>扣1分</w:t>
            </w:r>
          </w:p>
        </w:tc>
        <w:tc>
          <w:tcPr>
            <w:tcW w:w="750" w:type="dxa"/>
            <w:tcBorders>
              <w:top w:val="nil"/>
              <w:left w:val="nil"/>
              <w:bottom w:val="single" w:color="000000" w:sz="4" w:space="0"/>
              <w:right w:val="single" w:color="000000" w:sz="4" w:space="0"/>
            </w:tcBorders>
            <w:tcMar>
              <w:top w:w="0" w:type="dxa"/>
              <w:left w:w="105" w:type="dxa"/>
              <w:bottom w:w="0" w:type="dxa"/>
              <w:right w:w="105" w:type="dxa"/>
            </w:tcMar>
          </w:tcPr>
          <w:p w14:paraId="0DD56291">
            <w:pPr>
              <w:pStyle w:val="12"/>
              <w:ind w:firstLine="448"/>
              <w:jc w:val="center"/>
              <w:rPr>
                <w:rFonts w:hint="default"/>
              </w:rPr>
            </w:pPr>
          </w:p>
        </w:tc>
      </w:tr>
      <w:tr w14:paraId="3DBB3F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6FD1076">
            <w:pPr>
              <w:widowControl/>
              <w:spacing w:line="280" w:lineRule="exact"/>
              <w:jc w:val="center"/>
              <w:textAlignment w:val="baseline"/>
            </w:pPr>
            <w:r>
              <w:rPr>
                <w:rFonts w:hint="eastAsia"/>
              </w:rPr>
              <w:t>服务态度</w:t>
            </w:r>
          </w:p>
          <w:p w14:paraId="311BEC76">
            <w:pPr>
              <w:widowControl/>
              <w:spacing w:line="280" w:lineRule="exact"/>
              <w:jc w:val="center"/>
              <w:textAlignment w:val="baseline"/>
            </w:pPr>
            <w:r>
              <w:rPr>
                <w:rFonts w:hint="eastAsia"/>
              </w:rPr>
              <w:t>（6分）</w:t>
            </w:r>
          </w:p>
        </w:tc>
        <w:tc>
          <w:tcPr>
            <w:tcW w:w="4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1BA9BCB">
            <w:pPr>
              <w:widowControl/>
              <w:spacing w:line="280" w:lineRule="exact"/>
              <w:jc w:val="left"/>
              <w:textAlignment w:val="baseline"/>
            </w:pPr>
            <w:r>
              <w:rPr>
                <w:rFonts w:hint="eastAsia"/>
              </w:rPr>
              <w:t>食堂工作人员服务热情，</w:t>
            </w:r>
            <w:r>
              <w:rPr>
                <w:rFonts w:hint="eastAsia"/>
                <w:lang w:val="en-US" w:eastAsia="zh-CN"/>
              </w:rPr>
              <w:t>无</w:t>
            </w:r>
            <w:r>
              <w:rPr>
                <w:rFonts w:hint="eastAsia"/>
              </w:rPr>
              <w:t>有效投诉。</w:t>
            </w:r>
          </w:p>
          <w:p w14:paraId="06C9C9F3">
            <w:pPr>
              <w:widowControl/>
              <w:spacing w:line="280" w:lineRule="exact"/>
              <w:jc w:val="left"/>
              <w:textAlignment w:val="baseline"/>
            </w:pPr>
          </w:p>
        </w:tc>
        <w:tc>
          <w:tcPr>
            <w:tcW w:w="22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3233BDF">
            <w:pPr>
              <w:widowControl/>
              <w:spacing w:line="280" w:lineRule="exact"/>
              <w:jc w:val="left"/>
              <w:textAlignment w:val="baseline"/>
            </w:pPr>
            <w:r>
              <w:rPr>
                <w:rFonts w:hint="eastAsia"/>
              </w:rPr>
              <w:t>一次有效投诉扣1分</w:t>
            </w:r>
          </w:p>
        </w:tc>
        <w:tc>
          <w:tcPr>
            <w:tcW w:w="75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F402803">
            <w:pPr>
              <w:pStyle w:val="12"/>
              <w:ind w:firstLine="448"/>
              <w:jc w:val="center"/>
              <w:rPr>
                <w:rFonts w:hint="default"/>
              </w:rPr>
            </w:pPr>
          </w:p>
        </w:tc>
      </w:tr>
      <w:tr w14:paraId="6251B7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A62AF78">
            <w:pPr>
              <w:widowControl/>
              <w:spacing w:line="280" w:lineRule="exact"/>
              <w:jc w:val="center"/>
              <w:textAlignment w:val="baseline"/>
            </w:pPr>
            <w:r>
              <w:rPr>
                <w:rFonts w:hint="eastAsia"/>
              </w:rPr>
              <w:t>营养健康</w:t>
            </w:r>
          </w:p>
          <w:p w14:paraId="28C5AC75">
            <w:pPr>
              <w:widowControl/>
              <w:spacing w:line="280" w:lineRule="exact"/>
              <w:jc w:val="center"/>
              <w:textAlignment w:val="baseline"/>
            </w:pPr>
            <w:r>
              <w:rPr>
                <w:rFonts w:hint="eastAsia"/>
              </w:rPr>
              <w:t>食堂建设</w:t>
            </w:r>
          </w:p>
          <w:p w14:paraId="45D1756B">
            <w:pPr>
              <w:widowControl/>
              <w:spacing w:line="280" w:lineRule="exact"/>
              <w:jc w:val="center"/>
              <w:textAlignment w:val="baseline"/>
            </w:pPr>
            <w:r>
              <w:rPr>
                <w:rFonts w:hint="eastAsia"/>
              </w:rPr>
              <w:t>（6分）</w:t>
            </w:r>
          </w:p>
        </w:tc>
        <w:tc>
          <w:tcPr>
            <w:tcW w:w="48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D585445">
            <w:pPr>
              <w:widowControl/>
              <w:spacing w:line="280" w:lineRule="exact"/>
              <w:jc w:val="left"/>
              <w:textAlignment w:val="baseline"/>
            </w:pPr>
            <w:r>
              <w:rPr>
                <w:rFonts w:hint="eastAsia"/>
              </w:rPr>
              <w:t>按要求配合医院营养健康食堂建设。</w:t>
            </w:r>
          </w:p>
        </w:tc>
        <w:tc>
          <w:tcPr>
            <w:tcW w:w="223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515B76D1">
            <w:pPr>
              <w:widowControl/>
              <w:spacing w:line="280" w:lineRule="exact"/>
              <w:jc w:val="left"/>
              <w:textAlignment w:val="baseline"/>
            </w:pPr>
            <w:r>
              <w:rPr>
                <w:rFonts w:hint="eastAsia"/>
              </w:rPr>
              <w:t>不按要求配合创建一次扣</w:t>
            </w:r>
            <w:r>
              <w:rPr>
                <w:rFonts w:hint="eastAsia"/>
                <w:lang w:val="en-US" w:eastAsia="zh-CN"/>
              </w:rPr>
              <w:t>2</w:t>
            </w:r>
            <w:r>
              <w:rPr>
                <w:rFonts w:hint="eastAsia"/>
              </w:rPr>
              <w:t>分。</w:t>
            </w:r>
          </w:p>
        </w:tc>
        <w:tc>
          <w:tcPr>
            <w:tcW w:w="750" w:type="dxa"/>
            <w:tcBorders>
              <w:top w:val="nil"/>
              <w:left w:val="nil"/>
              <w:bottom w:val="single" w:color="000000" w:sz="4" w:space="0"/>
              <w:right w:val="single" w:color="000000" w:sz="4" w:space="0"/>
            </w:tcBorders>
            <w:tcMar>
              <w:top w:w="0" w:type="dxa"/>
              <w:left w:w="105" w:type="dxa"/>
              <w:bottom w:w="0" w:type="dxa"/>
              <w:right w:w="105" w:type="dxa"/>
            </w:tcMar>
          </w:tcPr>
          <w:p w14:paraId="0C95410A">
            <w:pPr>
              <w:pStyle w:val="12"/>
              <w:ind w:firstLine="448"/>
              <w:jc w:val="center"/>
              <w:rPr>
                <w:rFonts w:hint="default"/>
              </w:rPr>
            </w:pPr>
          </w:p>
        </w:tc>
      </w:tr>
      <w:tr w14:paraId="699F24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4CB9D53">
            <w:pPr>
              <w:widowControl/>
              <w:spacing w:line="280" w:lineRule="exact"/>
              <w:jc w:val="center"/>
              <w:textAlignment w:val="baseline"/>
            </w:pPr>
            <w:r>
              <w:rPr>
                <w:rFonts w:hint="eastAsia"/>
              </w:rPr>
              <w:t>满意度</w:t>
            </w:r>
          </w:p>
          <w:p w14:paraId="70DEFEFF">
            <w:pPr>
              <w:widowControl/>
              <w:spacing w:line="280" w:lineRule="exact"/>
              <w:jc w:val="center"/>
              <w:textAlignment w:val="baseline"/>
            </w:pPr>
            <w:r>
              <w:rPr>
                <w:rFonts w:hint="eastAsia"/>
              </w:rPr>
              <w:t>（40分）</w:t>
            </w:r>
          </w:p>
        </w:tc>
        <w:tc>
          <w:tcPr>
            <w:tcW w:w="4825"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BB41E90">
            <w:pPr>
              <w:widowControl/>
              <w:spacing w:line="280" w:lineRule="exact"/>
              <w:jc w:val="left"/>
              <w:textAlignment w:val="baseline"/>
            </w:pPr>
            <w:r>
              <w:rPr>
                <w:rFonts w:hint="eastAsia"/>
              </w:rPr>
              <w:t>月末对职工、患者进行食堂满意度调查。</w:t>
            </w:r>
          </w:p>
        </w:tc>
        <w:tc>
          <w:tcPr>
            <w:tcW w:w="223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6F811BA">
            <w:pPr>
              <w:widowControl/>
              <w:spacing w:line="280" w:lineRule="exact"/>
              <w:jc w:val="center"/>
              <w:textAlignment w:val="baseline"/>
            </w:pPr>
            <w:r>
              <w:rPr>
                <w:rFonts w:hint="eastAsia"/>
              </w:rPr>
              <w:t>满意度*40为得分</w:t>
            </w:r>
          </w:p>
        </w:tc>
        <w:tc>
          <w:tcPr>
            <w:tcW w:w="750" w:type="dxa"/>
            <w:tcBorders>
              <w:top w:val="nil"/>
              <w:left w:val="nil"/>
              <w:bottom w:val="single" w:color="000000" w:sz="4" w:space="0"/>
              <w:right w:val="single" w:color="000000" w:sz="4" w:space="0"/>
            </w:tcBorders>
            <w:tcMar>
              <w:top w:w="0" w:type="dxa"/>
              <w:left w:w="105" w:type="dxa"/>
              <w:bottom w:w="0" w:type="dxa"/>
              <w:right w:w="105" w:type="dxa"/>
            </w:tcMar>
          </w:tcPr>
          <w:p w14:paraId="3B420228">
            <w:pPr>
              <w:widowControl/>
              <w:spacing w:line="280" w:lineRule="exact"/>
              <w:jc w:val="center"/>
              <w:textAlignment w:val="baseline"/>
            </w:pPr>
          </w:p>
        </w:tc>
      </w:tr>
      <w:tr w14:paraId="60BD5B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98"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84419F4">
            <w:pPr>
              <w:pStyle w:val="12"/>
              <w:rPr>
                <w:rFonts w:hint="default"/>
                <w:kern w:val="2"/>
                <w:sz w:val="21"/>
                <w:szCs w:val="24"/>
                <w:lang w:eastAsia="zh-CN"/>
              </w:rPr>
            </w:pPr>
            <w:r>
              <w:rPr>
                <w:kern w:val="2"/>
                <w:sz w:val="21"/>
                <w:szCs w:val="24"/>
                <w:lang w:eastAsia="zh-CN"/>
              </w:rPr>
              <w:t>备注：</w:t>
            </w:r>
          </w:p>
          <w:p w14:paraId="5F155DF8">
            <w:pPr>
              <w:pStyle w:val="12"/>
              <w:numPr>
                <w:ilvl w:val="0"/>
                <w:numId w:val="0"/>
              </w:numPr>
              <w:ind w:left="60" w:leftChars="0" w:right="60" w:rightChars="0"/>
              <w:rPr>
                <w:rFonts w:hint="default"/>
                <w:kern w:val="2"/>
                <w:sz w:val="21"/>
                <w:szCs w:val="24"/>
                <w:lang w:eastAsia="zh-CN"/>
              </w:rPr>
            </w:pPr>
            <w:r>
              <w:rPr>
                <w:rFonts w:hint="default" w:asciiTheme="minorHAnsi" w:hAnsiTheme="minorHAnsi" w:eastAsiaTheme="minorEastAsia" w:cstheme="minorBidi"/>
                <w:kern w:val="2"/>
                <w:sz w:val="21"/>
                <w:szCs w:val="24"/>
                <w:lang w:val="en-US" w:eastAsia="zh-CN" w:bidi="ar-SA"/>
              </w:rPr>
              <w:t>3.</w:t>
            </w:r>
            <w:r>
              <w:rPr>
                <w:kern w:val="2"/>
                <w:sz w:val="21"/>
                <w:szCs w:val="24"/>
                <w:lang w:eastAsia="zh-CN"/>
              </w:rPr>
              <w:t>考核周期为每月一次。</w:t>
            </w:r>
          </w:p>
          <w:p w14:paraId="166B542C">
            <w:pPr>
              <w:pStyle w:val="12"/>
              <w:numPr>
                <w:ilvl w:val="0"/>
                <w:numId w:val="0"/>
              </w:numPr>
              <w:ind w:left="60" w:leftChars="0" w:right="60" w:rightChars="0"/>
              <w:rPr>
                <w:rFonts w:hint="default"/>
                <w:kern w:val="2"/>
                <w:sz w:val="21"/>
                <w:szCs w:val="24"/>
                <w:lang w:eastAsia="zh-CN"/>
              </w:rPr>
            </w:pPr>
            <w:r>
              <w:rPr>
                <w:rFonts w:hint="default" w:asciiTheme="minorHAnsi" w:hAnsiTheme="minorHAnsi" w:eastAsiaTheme="minorEastAsia" w:cstheme="minorBidi"/>
                <w:kern w:val="2"/>
                <w:sz w:val="21"/>
                <w:szCs w:val="24"/>
                <w:lang w:val="en-US" w:eastAsia="zh-CN" w:bidi="ar-SA"/>
              </w:rPr>
              <w:t>4.</w:t>
            </w:r>
            <w:r>
              <w:rPr>
                <w:kern w:val="2"/>
                <w:sz w:val="21"/>
                <w:szCs w:val="24"/>
                <w:lang w:eastAsia="zh-CN"/>
              </w:rPr>
              <w:t>每次考核个项目分扣完为止。</w:t>
            </w:r>
          </w:p>
          <w:p w14:paraId="3AE13782">
            <w:pPr>
              <w:pStyle w:val="12"/>
              <w:ind w:firstLine="120"/>
              <w:jc w:val="both"/>
              <w:rPr>
                <w:rFonts w:hint="default"/>
                <w:kern w:val="2"/>
                <w:sz w:val="21"/>
                <w:szCs w:val="24"/>
                <w:lang w:eastAsia="zh-CN"/>
              </w:rPr>
            </w:pPr>
            <w:r>
              <w:rPr>
                <w:kern w:val="2"/>
                <w:sz w:val="21"/>
                <w:szCs w:val="24"/>
                <w:lang w:eastAsia="zh-CN"/>
              </w:rPr>
              <w:t>3.采购人根据实际服务情况，可适当调整食堂考核细则，增减考核条款。</w:t>
            </w:r>
          </w:p>
        </w:tc>
      </w:tr>
    </w:tbl>
    <w:p w14:paraId="3E30A6A3">
      <w:pPr>
        <w:jc w:val="center"/>
        <w:rPr>
          <w:b/>
          <w:bCs/>
        </w:rPr>
      </w:pPr>
    </w:p>
    <w:p w14:paraId="6FCA704B">
      <w:pPr>
        <w:pStyle w:val="3"/>
        <w:rPr>
          <w:b/>
          <w:bCs/>
        </w:rPr>
      </w:pPr>
    </w:p>
    <w:p w14:paraId="4B3C9B2E">
      <w:pPr>
        <w:pStyle w:val="4"/>
      </w:pPr>
    </w:p>
    <w:p w14:paraId="34AB271F">
      <w:pPr>
        <w:jc w:val="center"/>
      </w:pPr>
      <w:r>
        <w:rPr>
          <w:rFonts w:hint="eastAsia"/>
          <w:b/>
          <w:bCs/>
        </w:rPr>
        <w:t>邻水县人民医院食堂外包服务考核结果运用</w:t>
      </w:r>
    </w:p>
    <w:tbl>
      <w:tblPr>
        <w:tblStyle w:val="9"/>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4375"/>
        <w:gridCol w:w="2580"/>
      </w:tblGrid>
      <w:tr w14:paraId="4746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Align w:val="center"/>
          </w:tcPr>
          <w:p w14:paraId="477B55FC">
            <w:pPr>
              <w:spacing w:line="280" w:lineRule="exact"/>
              <w:ind w:firstLine="240" w:firstLineChars="100"/>
              <w:jc w:val="center"/>
              <w:rPr>
                <w:rFonts w:ascii="Times New Roman" w:hAnsi="Times New Roman" w:eastAsia="方正仿宋_GBK" w:cs="Times New Roman"/>
                <w:sz w:val="24"/>
              </w:rPr>
            </w:pPr>
            <w:r>
              <w:rPr>
                <w:rFonts w:hint="eastAsia" w:ascii="Times New Roman" w:hAnsi="Times New Roman" w:eastAsia="方正仿宋_GBK" w:cs="Times New Roman"/>
                <w:sz w:val="24"/>
              </w:rPr>
              <w:t>考核结果</w:t>
            </w:r>
          </w:p>
        </w:tc>
        <w:tc>
          <w:tcPr>
            <w:tcW w:w="4375" w:type="dxa"/>
            <w:vAlign w:val="center"/>
          </w:tcPr>
          <w:p w14:paraId="102C0F20">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向医院上交违约金标准</w:t>
            </w:r>
          </w:p>
        </w:tc>
        <w:tc>
          <w:tcPr>
            <w:tcW w:w="2580" w:type="dxa"/>
            <w:vAlign w:val="center"/>
          </w:tcPr>
          <w:p w14:paraId="7E1D1901">
            <w:pPr>
              <w:spacing w:line="28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备  注</w:t>
            </w:r>
          </w:p>
        </w:tc>
      </w:tr>
      <w:tr w14:paraId="4E93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Align w:val="center"/>
          </w:tcPr>
          <w:p w14:paraId="4EA04B06">
            <w:pPr>
              <w:spacing w:line="280" w:lineRule="exact"/>
              <w:jc w:val="left"/>
              <w:rPr>
                <w:rFonts w:ascii="Times New Roman" w:hAnsi="Times New Roman" w:eastAsia="方正仿宋_GBK" w:cs="Times New Roman"/>
                <w:sz w:val="24"/>
              </w:rPr>
            </w:pPr>
            <w:r>
              <w:rPr>
                <w:rFonts w:hint="eastAsia" w:ascii="Times New Roman" w:hAnsi="Times New Roman" w:eastAsia="方正仿宋_GBK" w:cs="Times New Roman"/>
                <w:sz w:val="24"/>
              </w:rPr>
              <w:t>8</w:t>
            </w:r>
            <w:r>
              <w:rPr>
                <w:rFonts w:ascii="Times New Roman" w:hAnsi="Times New Roman" w:eastAsia="方正仿宋_GBK" w:cs="Times New Roman"/>
                <w:sz w:val="24"/>
              </w:rPr>
              <w:t>0</w:t>
            </w:r>
            <w:r>
              <w:rPr>
                <w:rFonts w:hint="eastAsia" w:ascii="Times New Roman" w:hAnsi="Times New Roman" w:eastAsia="方正仿宋_GBK" w:cs="Times New Roman"/>
                <w:sz w:val="24"/>
              </w:rPr>
              <w:t>分至100分</w:t>
            </w:r>
          </w:p>
        </w:tc>
        <w:tc>
          <w:tcPr>
            <w:tcW w:w="4375" w:type="dxa"/>
            <w:vAlign w:val="center"/>
          </w:tcPr>
          <w:p w14:paraId="783E5152">
            <w:pPr>
              <w:spacing w:line="280" w:lineRule="exact"/>
              <w:rPr>
                <w:rFonts w:ascii="Times New Roman" w:hAnsi="Times New Roman" w:eastAsia="方正仿宋_GBK" w:cs="Times New Roman"/>
                <w:sz w:val="24"/>
              </w:rPr>
            </w:pPr>
            <w:r>
              <w:rPr>
                <w:rFonts w:hint="eastAsia" w:ascii="Times New Roman" w:hAnsi="Times New Roman" w:eastAsia="方正仿宋_GBK" w:cs="Times New Roman"/>
                <w:sz w:val="24"/>
              </w:rPr>
              <w:t>不上交</w:t>
            </w:r>
          </w:p>
        </w:tc>
        <w:tc>
          <w:tcPr>
            <w:tcW w:w="2580" w:type="dxa"/>
            <w:vAlign w:val="center"/>
          </w:tcPr>
          <w:p w14:paraId="227BCC38">
            <w:pPr>
              <w:spacing w:line="280" w:lineRule="exact"/>
              <w:rPr>
                <w:rFonts w:ascii="Times New Roman" w:hAnsi="Times New Roman" w:eastAsia="方正仿宋_GBK" w:cs="Times New Roman"/>
                <w:sz w:val="24"/>
              </w:rPr>
            </w:pPr>
          </w:p>
        </w:tc>
      </w:tr>
      <w:tr w14:paraId="446C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Align w:val="center"/>
          </w:tcPr>
          <w:p w14:paraId="0FA99B22">
            <w:pPr>
              <w:spacing w:line="280" w:lineRule="exact"/>
              <w:jc w:val="left"/>
              <w:rPr>
                <w:rFonts w:ascii="Times New Roman" w:hAnsi="Times New Roman" w:eastAsia="方正仿宋_GBK" w:cs="Times New Roman"/>
                <w:sz w:val="24"/>
              </w:rPr>
            </w:pPr>
            <w:r>
              <w:rPr>
                <w:rFonts w:hint="eastAsia" w:ascii="Times New Roman" w:hAnsi="Times New Roman" w:eastAsia="方正仿宋_GBK" w:cs="Times New Roman"/>
                <w:sz w:val="24"/>
              </w:rPr>
              <w:t>70分至79分</w:t>
            </w:r>
          </w:p>
        </w:tc>
        <w:tc>
          <w:tcPr>
            <w:tcW w:w="4375" w:type="dxa"/>
            <w:vAlign w:val="center"/>
          </w:tcPr>
          <w:p w14:paraId="28A4AA2A">
            <w:pPr>
              <w:spacing w:line="280" w:lineRule="exact"/>
              <w:rPr>
                <w:rFonts w:ascii="Times New Roman" w:hAnsi="Times New Roman" w:eastAsia="方正仿宋_GBK" w:cs="Times New Roman"/>
                <w:sz w:val="24"/>
              </w:rPr>
            </w:pPr>
            <w:r>
              <w:rPr>
                <w:rFonts w:hint="eastAsia" w:ascii="Times New Roman" w:hAnsi="Times New Roman" w:eastAsia="方正仿宋_GBK" w:cs="Times New Roman"/>
                <w:sz w:val="24"/>
              </w:rPr>
              <w:t>每分上交300元，即300元至</w:t>
            </w:r>
            <w:r>
              <w:rPr>
                <w:rFonts w:ascii="Times New Roman" w:hAnsi="Times New Roman" w:eastAsia="方正仿宋_GBK" w:cs="Times New Roman"/>
                <w:sz w:val="24"/>
              </w:rPr>
              <w:t>3</w:t>
            </w:r>
            <w:r>
              <w:rPr>
                <w:rFonts w:hint="eastAsia" w:ascii="Times New Roman" w:hAnsi="Times New Roman" w:eastAsia="方正仿宋_GBK" w:cs="Times New Roman"/>
                <w:sz w:val="24"/>
              </w:rPr>
              <w:t>000元</w:t>
            </w:r>
          </w:p>
        </w:tc>
        <w:tc>
          <w:tcPr>
            <w:tcW w:w="2580" w:type="dxa"/>
            <w:vAlign w:val="center"/>
          </w:tcPr>
          <w:p w14:paraId="4FBB4B1A">
            <w:pPr>
              <w:spacing w:line="280" w:lineRule="exact"/>
              <w:rPr>
                <w:rFonts w:ascii="Times New Roman" w:hAnsi="Times New Roman" w:eastAsia="方正仿宋_GBK" w:cs="Times New Roman"/>
                <w:sz w:val="24"/>
              </w:rPr>
            </w:pPr>
          </w:p>
        </w:tc>
      </w:tr>
      <w:tr w14:paraId="54FC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Align w:val="center"/>
          </w:tcPr>
          <w:p w14:paraId="22ABB874">
            <w:pPr>
              <w:spacing w:line="280" w:lineRule="exact"/>
              <w:jc w:val="left"/>
              <w:rPr>
                <w:rFonts w:ascii="Times New Roman" w:hAnsi="Times New Roman" w:eastAsia="方正仿宋_GBK" w:cs="Times New Roman"/>
                <w:sz w:val="24"/>
              </w:rPr>
            </w:pPr>
            <w:r>
              <w:rPr>
                <w:rFonts w:hint="eastAsia" w:ascii="Times New Roman" w:hAnsi="Times New Roman" w:eastAsia="方正仿宋_GBK" w:cs="Times New Roman"/>
                <w:sz w:val="24"/>
              </w:rPr>
              <w:t>60分至79分</w:t>
            </w:r>
          </w:p>
        </w:tc>
        <w:tc>
          <w:tcPr>
            <w:tcW w:w="4375" w:type="dxa"/>
            <w:vAlign w:val="center"/>
          </w:tcPr>
          <w:p w14:paraId="32F61394">
            <w:pPr>
              <w:spacing w:line="280" w:lineRule="exact"/>
              <w:rPr>
                <w:rFonts w:ascii="Times New Roman" w:hAnsi="Times New Roman" w:eastAsia="方正仿宋_GBK" w:cs="Times New Roman"/>
                <w:sz w:val="24"/>
              </w:rPr>
            </w:pPr>
            <w:r>
              <w:rPr>
                <w:rFonts w:hint="eastAsia" w:ascii="Times New Roman" w:hAnsi="Times New Roman" w:eastAsia="方正仿宋_GBK" w:cs="Times New Roman"/>
                <w:sz w:val="24"/>
              </w:rPr>
              <w:t>每分上交400元，即</w:t>
            </w:r>
            <w:r>
              <w:rPr>
                <w:rFonts w:ascii="Times New Roman" w:hAnsi="Times New Roman" w:eastAsia="方正仿宋_GBK" w:cs="Times New Roman"/>
                <w:sz w:val="24"/>
              </w:rPr>
              <w:t>3</w:t>
            </w:r>
            <w:r>
              <w:rPr>
                <w:rFonts w:hint="eastAsia" w:ascii="Times New Roman" w:hAnsi="Times New Roman" w:eastAsia="方正仿宋_GBK" w:cs="Times New Roman"/>
                <w:sz w:val="24"/>
              </w:rPr>
              <w:t>400元至</w:t>
            </w:r>
            <w:r>
              <w:rPr>
                <w:rFonts w:ascii="Times New Roman" w:hAnsi="Times New Roman" w:eastAsia="方正仿宋_GBK" w:cs="Times New Roman"/>
                <w:sz w:val="24"/>
              </w:rPr>
              <w:t>7</w:t>
            </w:r>
            <w:r>
              <w:rPr>
                <w:rFonts w:hint="eastAsia" w:ascii="Times New Roman" w:hAnsi="Times New Roman" w:eastAsia="方正仿宋_GBK" w:cs="Times New Roman"/>
                <w:sz w:val="24"/>
              </w:rPr>
              <w:t>000元</w:t>
            </w:r>
          </w:p>
        </w:tc>
        <w:tc>
          <w:tcPr>
            <w:tcW w:w="2580" w:type="dxa"/>
            <w:vAlign w:val="center"/>
          </w:tcPr>
          <w:p w14:paraId="668CEE96">
            <w:pPr>
              <w:spacing w:line="280" w:lineRule="exact"/>
              <w:rPr>
                <w:rFonts w:ascii="Times New Roman" w:hAnsi="Times New Roman" w:eastAsia="方正仿宋_GBK" w:cs="Times New Roman"/>
                <w:sz w:val="24"/>
              </w:rPr>
            </w:pPr>
            <w:r>
              <w:rPr>
                <w:rFonts w:hint="eastAsia" w:ascii="Times New Roman" w:hAnsi="Times New Roman" w:eastAsia="方正仿宋_GBK" w:cs="Times New Roman"/>
                <w:sz w:val="24"/>
              </w:rPr>
              <w:t>累加计算并约谈整改</w:t>
            </w:r>
          </w:p>
        </w:tc>
      </w:tr>
      <w:tr w14:paraId="408B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dxa"/>
            <w:vAlign w:val="center"/>
          </w:tcPr>
          <w:p w14:paraId="36D546B9">
            <w:pPr>
              <w:spacing w:line="280" w:lineRule="exact"/>
              <w:jc w:val="left"/>
              <w:rPr>
                <w:rFonts w:ascii="Times New Roman" w:hAnsi="Times New Roman" w:eastAsia="方正仿宋_GBK" w:cs="Times New Roman"/>
                <w:sz w:val="24"/>
              </w:rPr>
            </w:pPr>
            <w:r>
              <w:rPr>
                <w:rFonts w:hint="eastAsia" w:ascii="Times New Roman" w:hAnsi="Times New Roman" w:eastAsia="方正仿宋_GBK" w:cs="Times New Roman"/>
                <w:sz w:val="24"/>
              </w:rPr>
              <w:t>60分以下</w:t>
            </w:r>
          </w:p>
        </w:tc>
        <w:tc>
          <w:tcPr>
            <w:tcW w:w="4375" w:type="dxa"/>
            <w:vAlign w:val="center"/>
          </w:tcPr>
          <w:p w14:paraId="70E81D74">
            <w:pPr>
              <w:spacing w:line="280" w:lineRule="exact"/>
              <w:rPr>
                <w:rFonts w:ascii="Times New Roman" w:hAnsi="Times New Roman" w:eastAsia="方正仿宋_GBK" w:cs="Times New Roman"/>
                <w:sz w:val="24"/>
              </w:rPr>
            </w:pPr>
            <w:r>
              <w:rPr>
                <w:rFonts w:hint="eastAsia" w:ascii="Times New Roman" w:hAnsi="Times New Roman" w:eastAsia="方正仿宋_GBK" w:cs="Times New Roman"/>
                <w:sz w:val="24"/>
              </w:rPr>
              <w:t>上交违约金8000元</w:t>
            </w:r>
          </w:p>
        </w:tc>
        <w:tc>
          <w:tcPr>
            <w:tcW w:w="2580" w:type="dxa"/>
            <w:vAlign w:val="center"/>
          </w:tcPr>
          <w:p w14:paraId="580F2830">
            <w:pPr>
              <w:spacing w:line="280" w:lineRule="exact"/>
              <w:rPr>
                <w:rFonts w:ascii="Times New Roman" w:hAnsi="Times New Roman" w:eastAsia="方正仿宋_GBK" w:cs="Times New Roman"/>
                <w:sz w:val="24"/>
              </w:rPr>
            </w:pPr>
            <w:r>
              <w:rPr>
                <w:rFonts w:hint="eastAsia" w:ascii="Times New Roman" w:hAnsi="Times New Roman" w:eastAsia="方正仿宋_GBK" w:cs="Times New Roman"/>
                <w:sz w:val="24"/>
              </w:rPr>
              <w:t>约谈整改，</w:t>
            </w:r>
          </w:p>
          <w:p w14:paraId="147110D9">
            <w:pPr>
              <w:spacing w:line="280" w:lineRule="exact"/>
              <w:rPr>
                <w:rFonts w:ascii="Times New Roman" w:hAnsi="Times New Roman" w:eastAsia="方正仿宋_GBK" w:cs="Times New Roman"/>
                <w:sz w:val="24"/>
              </w:rPr>
            </w:pPr>
            <w:r>
              <w:rPr>
                <w:rFonts w:hint="eastAsia" w:ascii="Times New Roman" w:hAnsi="Times New Roman" w:eastAsia="方正仿宋_GBK" w:cs="Times New Roman"/>
                <w:color w:val="000000" w:themeColor="text1"/>
                <w:sz w:val="24"/>
                <w14:textFill>
                  <w14:solidFill>
                    <w14:schemeClr w14:val="tx1"/>
                  </w14:solidFill>
                </w14:textFill>
              </w:rPr>
              <w:t>年度内</w:t>
            </w:r>
            <w:r>
              <w:rPr>
                <w:rFonts w:hint="eastAsia" w:ascii="Times New Roman" w:hAnsi="Times New Roman" w:eastAsia="方正仿宋_GBK" w:cs="Times New Roman"/>
                <w:sz w:val="24"/>
              </w:rPr>
              <w:t>2次终止合同</w:t>
            </w:r>
          </w:p>
        </w:tc>
      </w:tr>
    </w:tbl>
    <w:p w14:paraId="5B4E92DD">
      <w:pPr>
        <w:pStyle w:val="12"/>
        <w:outlineLvl w:val="2"/>
        <w:rPr>
          <w:rFonts w:hint="default"/>
        </w:rPr>
      </w:pPr>
      <w:r>
        <w:rPr>
          <w:b/>
          <w:sz w:val="28"/>
        </w:rPr>
        <w:t xml:space="preserve"> </w:t>
      </w:r>
      <w:r>
        <w:rPr>
          <w:rFonts w:hint="eastAsia"/>
          <w:b/>
          <w:sz w:val="28"/>
          <w:lang w:val="en-US" w:eastAsia="zh-CN"/>
        </w:rPr>
        <w:t xml:space="preserve">  </w:t>
      </w:r>
      <w:r>
        <w:rPr>
          <w:b/>
          <w:sz w:val="28"/>
        </w:rPr>
        <w:t>六、甲方的权利和义务</w:t>
      </w:r>
    </w:p>
    <w:p w14:paraId="6400CD9B">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1、甲方监督乙方食堂经营管理，督促乙方落实各项管理制度、职责及各种培训。</w:t>
      </w:r>
    </w:p>
    <w:p w14:paraId="6EEC3DEC">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2、甲方提供食堂设施设备及水、电、气，乙方承担设施设备维修及水、电、气使用费用。</w:t>
      </w:r>
    </w:p>
    <w:p w14:paraId="1B9F134C">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3、甲方审核乙方食谱和饭菜价格。</w:t>
      </w:r>
    </w:p>
    <w:p w14:paraId="4A339A66">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4、甲方有权对乙方采购原材料进行抽查，对质量不合格的，乙方必须进行更换和调整。</w:t>
      </w:r>
    </w:p>
    <w:p w14:paraId="1809FD15">
      <w:pPr>
        <w:pStyle w:val="12"/>
        <w:ind w:firstLine="480" w:firstLineChars="200"/>
        <w:outlineLvl w:val="2"/>
        <w:rPr>
          <w:b/>
          <w:sz w:val="28"/>
        </w:rPr>
      </w:pPr>
      <w:r>
        <w:rPr>
          <w:rStyle w:val="13"/>
          <w:rFonts w:hint="eastAsia" w:ascii="宋体" w:hAnsi="宋体" w:eastAsia="宋体" w:cs="宋体"/>
          <w:b w:val="0"/>
          <w:bCs w:val="0"/>
          <w:i w:val="0"/>
          <w:caps w:val="0"/>
          <w:color w:val="333333"/>
          <w:spacing w:val="0"/>
          <w:w w:val="100"/>
          <w:kern w:val="0"/>
          <w:sz w:val="24"/>
          <w:szCs w:val="24"/>
          <w:lang w:val="en-US" w:eastAsia="zh-CN" w:bidi="ar-SA"/>
        </w:rPr>
        <w:t>5</w:t>
      </w:r>
      <w:r>
        <w:rPr>
          <w:rStyle w:val="13"/>
          <w:rFonts w:hint="eastAsia" w:ascii="宋体" w:hAnsi="宋体" w:eastAsia="宋体" w:cs="宋体"/>
          <w:b w:val="0"/>
          <w:i w:val="0"/>
          <w:caps w:val="0"/>
          <w:color w:val="333333"/>
          <w:spacing w:val="0"/>
          <w:w w:val="100"/>
          <w:kern w:val="0"/>
          <w:sz w:val="24"/>
          <w:szCs w:val="24"/>
          <w:lang w:val="en-US" w:eastAsia="zh-CN" w:bidi="ar-SA"/>
        </w:rPr>
        <w:t>、甲方对乙方经营食堂规章制度、饭菜质量、食品安全、服务态度、环境卫生等进行监督检查，有权要求乙方及时整改存在的问题。</w:t>
      </w:r>
      <w:r>
        <w:rPr>
          <w:b/>
          <w:sz w:val="28"/>
        </w:rPr>
        <w:t xml:space="preserve"> </w:t>
      </w:r>
    </w:p>
    <w:p w14:paraId="2E174B34">
      <w:pPr>
        <w:pStyle w:val="12"/>
        <w:ind w:firstLine="562" w:firstLineChars="200"/>
        <w:outlineLvl w:val="2"/>
        <w:rPr>
          <w:rFonts w:hint="default"/>
        </w:rPr>
      </w:pPr>
      <w:r>
        <w:rPr>
          <w:b/>
          <w:sz w:val="28"/>
        </w:rPr>
        <w:t>七、乙方的权利和义务</w:t>
      </w:r>
    </w:p>
    <w:p w14:paraId="2504363D">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1、乙方按投标文件自行招聘并足额配齐食堂工作人员（人员无犯罪记录及其他不良行为），并负责其工资及福利等，食堂所有工作人员上岗前必须取得</w:t>
      </w:r>
      <w:r>
        <w:rPr>
          <w:rFonts w:ascii="宋体" w:hAnsi="宋体" w:eastAsia="宋体" w:cs="宋体"/>
          <w:color w:val="000000"/>
          <w:sz w:val="24"/>
        </w:rPr>
        <w:t>有效的《四川省从业人员预防性体检合格证》</w:t>
      </w:r>
      <w:r>
        <w:rPr>
          <w:rStyle w:val="13"/>
          <w:rFonts w:hint="eastAsia" w:ascii="宋体" w:hAnsi="宋体" w:eastAsia="宋体" w:cs="宋体"/>
          <w:b w:val="0"/>
          <w:i w:val="0"/>
          <w:caps w:val="0"/>
          <w:color w:val="333333"/>
          <w:spacing w:val="0"/>
          <w:w w:val="100"/>
          <w:kern w:val="0"/>
          <w:sz w:val="24"/>
          <w:szCs w:val="24"/>
          <w:lang w:val="en-US" w:eastAsia="zh-CN" w:bidi="ar-SA"/>
        </w:rPr>
        <w:t>。</w:t>
      </w:r>
    </w:p>
    <w:p w14:paraId="0F4A131D">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2、乙方负责医院食堂的经营管理，严格执行国家和地方食品安全标准及相关规定，严格遵守医院食堂各项规章制度。</w:t>
      </w:r>
    </w:p>
    <w:p w14:paraId="6C1E2856">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3、乙方饭菜价格低于周边市场行情价格。</w:t>
      </w:r>
    </w:p>
    <w:p w14:paraId="0CC0BC9F">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4、乙方须接受食品卫生管理部门和甲方的监督检查，服从管理，接受职工和病员的监督。 </w:t>
      </w:r>
    </w:p>
    <w:p w14:paraId="6ECA311F">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5、乙方自行采购、加工食品，做到饭菜品种丰富，质量、卫生好，按时供应，保证职工和病员就餐。</w:t>
      </w:r>
    </w:p>
    <w:p w14:paraId="6447BDD2">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6、乙方须做好食堂环境及个人卫生，严禁出售过期腐烂变质食品。乙方员工规范着装，工作期间禁止吸烟。 </w:t>
      </w:r>
    </w:p>
    <w:p w14:paraId="36BACC27">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7、乙方爱惜食堂设施设备，负责设施设备维修，外包服务期满按清单归还甲方，若损坏或丢失按价赔偿。 </w:t>
      </w:r>
    </w:p>
    <w:p w14:paraId="27CCA4BA">
      <w:pPr>
        <w:pStyle w:val="12"/>
        <w:ind w:firstLine="480" w:firstLineChars="200"/>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8、乙方须节约并安全使用水、电、气，做好防火、防盗工作，确保食堂安全。如出现食物中毒或其他安全事故，乙方承担全部责任，甲方概不负责。</w:t>
      </w:r>
    </w:p>
    <w:p w14:paraId="73738775">
      <w:pPr>
        <w:pStyle w:val="12"/>
        <w:ind w:firstLine="480" w:firstLineChars="200"/>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9、国家法律、法规所规定由乙方承担的其它责任。</w:t>
      </w:r>
    </w:p>
    <w:p w14:paraId="53BDBF87">
      <w:pPr>
        <w:pStyle w:val="12"/>
        <w:numPr>
          <w:ilvl w:val="0"/>
          <w:numId w:val="0"/>
        </w:numPr>
        <w:ind w:leftChars="0"/>
        <w:outlineLvl w:val="2"/>
        <w:rPr>
          <w:rFonts w:hint="default"/>
          <w:b/>
          <w:sz w:val="28"/>
          <w:lang w:val="en-US" w:eastAsia="zh-CN"/>
        </w:rPr>
      </w:pPr>
      <w:r>
        <w:rPr>
          <w:rFonts w:hint="eastAsia"/>
          <w:b/>
          <w:sz w:val="28"/>
          <w:lang w:val="en-US" w:eastAsia="zh-CN"/>
        </w:rPr>
        <w:t>八、违约责任</w:t>
      </w:r>
    </w:p>
    <w:p w14:paraId="2C3FE30D">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1、甲乙双方要严格遵守合同约定的各类事项。</w:t>
      </w:r>
    </w:p>
    <w:p w14:paraId="251D0CB5">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2、乙方违反国家或地方食品卫生管理法规以及医院食堂卫生管理制度，提供不洁食物造成人员食物中毒，乙方负责法律及赔偿责任。 </w:t>
      </w:r>
    </w:p>
    <w:p w14:paraId="422D9A46">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baseline"/>
        <w:rPr>
          <w:rStyle w:val="13"/>
          <w:rFonts w:hint="eastAsia"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3、乙方经营不善，造成饭菜质量、卫生差，经甲方考核、约谈、整改后仍无好转，甲方有权单方面终止合同，因此造成的损失由乙方承担。</w:t>
      </w:r>
    </w:p>
    <w:p w14:paraId="24160F6C">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left"/>
        <w:textAlignment w:val="baseline"/>
        <w:rPr>
          <w:rFonts w:hint="eastAsia"/>
          <w:b/>
          <w:sz w:val="28"/>
          <w:lang w:val="en-US" w:eastAsia="zh-CN"/>
        </w:rPr>
      </w:pPr>
      <w:r>
        <w:rPr>
          <w:rStyle w:val="13"/>
          <w:rFonts w:hint="eastAsia" w:ascii="宋体" w:hAnsi="宋体" w:eastAsia="宋体" w:cs="宋体"/>
          <w:b w:val="0"/>
          <w:i w:val="0"/>
          <w:caps w:val="0"/>
          <w:color w:val="333333"/>
          <w:spacing w:val="0"/>
          <w:w w:val="100"/>
          <w:kern w:val="0"/>
          <w:sz w:val="24"/>
          <w:szCs w:val="24"/>
          <w:lang w:val="en-US" w:eastAsia="zh-CN" w:bidi="ar-SA"/>
        </w:rPr>
        <w:t>4、甲乙双方违反本合同或单方面无正当理由终止本合同，应向对方赔偿相应损失。</w:t>
      </w:r>
    </w:p>
    <w:p w14:paraId="53F74510">
      <w:pPr>
        <w:pStyle w:val="12"/>
        <w:numPr>
          <w:ilvl w:val="0"/>
          <w:numId w:val="0"/>
        </w:numPr>
        <w:ind w:leftChars="0"/>
        <w:outlineLvl w:val="2"/>
        <w:rPr>
          <w:rFonts w:hint="eastAsia"/>
          <w:b/>
          <w:sz w:val="28"/>
          <w:lang w:val="en-US" w:eastAsia="zh-CN"/>
        </w:rPr>
      </w:pPr>
      <w:r>
        <w:rPr>
          <w:rFonts w:hint="eastAsia"/>
          <w:b/>
          <w:sz w:val="28"/>
          <w:lang w:val="en-US" w:eastAsia="zh-CN"/>
        </w:rPr>
        <w:t>九、合同纠纷解决方式</w:t>
      </w:r>
    </w:p>
    <w:p w14:paraId="4A859B69">
      <w:pPr>
        <w:pStyle w:val="12"/>
        <w:numPr>
          <w:ilvl w:val="0"/>
          <w:numId w:val="0"/>
        </w:numPr>
        <w:ind w:leftChars="0" w:firstLine="480" w:firstLineChars="200"/>
        <w:outlineLvl w:val="2"/>
        <w:rPr>
          <w:rStyle w:val="13"/>
          <w:rFonts w:hint="default" w:ascii="宋体" w:hAnsi="宋体" w:eastAsia="宋体" w:cs="宋体"/>
          <w:b w:val="0"/>
          <w:i w:val="0"/>
          <w:caps w:val="0"/>
          <w:color w:val="333333"/>
          <w:spacing w:val="0"/>
          <w:w w:val="100"/>
          <w:kern w:val="0"/>
          <w:sz w:val="24"/>
          <w:lang w:val="en-US" w:eastAsia="zh-CN"/>
        </w:rPr>
      </w:pPr>
      <w:r>
        <w:rPr>
          <w:rStyle w:val="13"/>
          <w:rFonts w:hint="eastAsia" w:ascii="宋体" w:hAnsi="宋体" w:eastAsia="宋体" w:cs="宋体"/>
          <w:b w:val="0"/>
          <w:i w:val="0"/>
          <w:caps w:val="0"/>
          <w:color w:val="333333"/>
          <w:spacing w:val="0"/>
          <w:w w:val="100"/>
          <w:kern w:val="0"/>
          <w:sz w:val="24"/>
        </w:rPr>
        <w:t>双方因履行本合同而发生的争议，应协商、调解解决。协商、调解不成的，向</w:t>
      </w:r>
      <w:r>
        <w:rPr>
          <w:rStyle w:val="13"/>
          <w:rFonts w:hint="eastAsia" w:ascii="宋体" w:hAnsi="宋体" w:eastAsia="宋体" w:cs="宋体"/>
          <w:b w:val="0"/>
          <w:i w:val="0"/>
          <w:caps w:val="0"/>
          <w:color w:val="333333"/>
          <w:spacing w:val="0"/>
          <w:w w:val="100"/>
          <w:kern w:val="0"/>
          <w:sz w:val="24"/>
          <w:u w:val="single"/>
          <w:lang w:val="en-US" w:eastAsia="zh-CN"/>
        </w:rPr>
        <w:t>邻水县</w:t>
      </w:r>
      <w:r>
        <w:rPr>
          <w:rStyle w:val="13"/>
          <w:rFonts w:hint="eastAsia" w:ascii="宋体" w:hAnsi="宋体" w:eastAsia="宋体" w:cs="宋体"/>
          <w:b w:val="0"/>
          <w:i w:val="0"/>
          <w:caps w:val="0"/>
          <w:color w:val="333333"/>
          <w:spacing w:val="0"/>
          <w:w w:val="100"/>
          <w:kern w:val="0"/>
          <w:sz w:val="24"/>
        </w:rPr>
        <w:t>人民法院提起诉讼。</w:t>
      </w:r>
    </w:p>
    <w:p w14:paraId="5A2DF1E9">
      <w:pPr>
        <w:pStyle w:val="12"/>
        <w:numPr>
          <w:ilvl w:val="0"/>
          <w:numId w:val="0"/>
        </w:numPr>
        <w:ind w:leftChars="0"/>
        <w:outlineLvl w:val="2"/>
        <w:rPr>
          <w:rFonts w:hint="default"/>
          <w:b/>
          <w:sz w:val="28"/>
        </w:rPr>
      </w:pPr>
      <w:r>
        <w:rPr>
          <w:rFonts w:hint="eastAsia"/>
          <w:b/>
          <w:sz w:val="28"/>
          <w:lang w:val="en-US" w:eastAsia="zh-CN"/>
        </w:rPr>
        <w:t>十、</w:t>
      </w:r>
      <w:r>
        <w:rPr>
          <w:b/>
          <w:sz w:val="28"/>
        </w:rPr>
        <w:t>合同生效及其他</w:t>
      </w:r>
    </w:p>
    <w:p w14:paraId="2E37291A">
      <w:pPr>
        <w:pStyle w:val="12"/>
        <w:ind w:firstLine="480" w:firstLineChars="200"/>
        <w:rPr>
          <w:rStyle w:val="13"/>
          <w:rFonts w:hint="default"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1.合同经双方法定代表人（或主要负责人）或授权委托代理人签字并加盖公章后生效。</w:t>
      </w:r>
    </w:p>
    <w:p w14:paraId="5A00AF6D">
      <w:pPr>
        <w:pStyle w:val="12"/>
        <w:ind w:firstLine="480" w:firstLineChars="200"/>
        <w:rPr>
          <w:rStyle w:val="13"/>
          <w:rFonts w:hint="default" w:ascii="宋体" w:hAnsi="宋体" w:eastAsia="宋体" w:cs="宋体"/>
          <w:b w:val="0"/>
          <w:i w:val="0"/>
          <w:caps w:val="0"/>
          <w:color w:val="333333"/>
          <w:spacing w:val="0"/>
          <w:w w:val="100"/>
          <w:kern w:val="0"/>
          <w:sz w:val="24"/>
          <w:szCs w:val="24"/>
          <w:lang w:val="en-US" w:eastAsia="zh-CN" w:bidi="ar-SA"/>
        </w:rPr>
      </w:pPr>
      <w:r>
        <w:rPr>
          <w:rStyle w:val="13"/>
          <w:rFonts w:hint="eastAsia" w:ascii="宋体" w:hAnsi="宋体" w:eastAsia="宋体" w:cs="宋体"/>
          <w:b w:val="0"/>
          <w:i w:val="0"/>
          <w:caps w:val="0"/>
          <w:color w:val="333333"/>
          <w:spacing w:val="0"/>
          <w:w w:val="100"/>
          <w:kern w:val="0"/>
          <w:sz w:val="24"/>
          <w:szCs w:val="24"/>
          <w:lang w:val="en-US" w:eastAsia="zh-CN" w:bidi="ar-SA"/>
        </w:rPr>
        <w:t>2.本合同一式4份，自双方签章之日起生效。甲方持有3份，乙方持有1份，具有同等法律效力。</w:t>
      </w:r>
    </w:p>
    <w:p w14:paraId="68A9978A">
      <w:pPr>
        <w:pStyle w:val="12"/>
        <w:ind w:firstLine="400" w:firstLineChars="200"/>
        <w:rPr>
          <w:rFonts w:hint="default"/>
        </w:rPr>
      </w:pPr>
      <w:r>
        <w:br w:type="textWrapping"/>
      </w:r>
      <w:bookmarkStart w:id="0" w:name="_GoBack"/>
      <w:bookmarkEnd w:id="0"/>
    </w:p>
    <w:p w14:paraId="1B2E397C">
      <w:pPr>
        <w:pStyle w:val="12"/>
        <w:rPr>
          <w:rFonts w:hint="default"/>
        </w:rPr>
      </w:pPr>
      <w:r>
        <w:t xml:space="preserve"> 甲方： （盖章）</w:t>
      </w:r>
    </w:p>
    <w:p w14:paraId="4B8B526B">
      <w:pPr>
        <w:pStyle w:val="12"/>
        <w:rPr>
          <w:rFonts w:hint="default"/>
        </w:rPr>
      </w:pPr>
      <w:r>
        <w:t xml:space="preserve"> 法定代表人或主要负责人（授权代表）：</w:t>
      </w:r>
    </w:p>
    <w:p w14:paraId="62073564">
      <w:pPr>
        <w:pStyle w:val="12"/>
        <w:rPr>
          <w:rFonts w:hint="default"/>
        </w:rPr>
      </w:pPr>
      <w:r>
        <w:t xml:space="preserve"> 地 址：</w:t>
      </w:r>
    </w:p>
    <w:p w14:paraId="3C4C81BD">
      <w:pPr>
        <w:pStyle w:val="12"/>
        <w:rPr>
          <w:rFonts w:hint="default"/>
        </w:rPr>
      </w:pPr>
      <w:r>
        <w:t xml:space="preserve"> 开户银行：</w:t>
      </w:r>
    </w:p>
    <w:p w14:paraId="2B205F96">
      <w:pPr>
        <w:pStyle w:val="12"/>
        <w:rPr>
          <w:rFonts w:hint="default"/>
        </w:rPr>
      </w:pPr>
      <w:r>
        <w:t xml:space="preserve"> 账号：</w:t>
      </w:r>
    </w:p>
    <w:p w14:paraId="313E046B">
      <w:pPr>
        <w:pStyle w:val="12"/>
        <w:rPr>
          <w:rFonts w:hint="default"/>
        </w:rPr>
      </w:pPr>
      <w:r>
        <w:t xml:space="preserve"> 签订时间： 年 月 日</w:t>
      </w:r>
    </w:p>
    <w:p w14:paraId="49F5AE09">
      <w:pPr>
        <w:pStyle w:val="12"/>
        <w:rPr>
          <w:rFonts w:hint="default"/>
        </w:rPr>
      </w:pPr>
      <w:r>
        <w:t xml:space="preserve"> 乙方：(盖章）</w:t>
      </w:r>
    </w:p>
    <w:p w14:paraId="2B826476">
      <w:pPr>
        <w:pStyle w:val="12"/>
        <w:rPr>
          <w:rFonts w:hint="default"/>
        </w:rPr>
      </w:pPr>
      <w:r>
        <w:t xml:space="preserve"> 法定代表人或主要负责人（授权代表）：</w:t>
      </w:r>
    </w:p>
    <w:p w14:paraId="00BE5B87">
      <w:pPr>
        <w:pStyle w:val="12"/>
        <w:rPr>
          <w:rFonts w:hint="default"/>
        </w:rPr>
      </w:pPr>
      <w:r>
        <w:t xml:space="preserve"> 地 址：</w:t>
      </w:r>
    </w:p>
    <w:p w14:paraId="0F54A531">
      <w:pPr>
        <w:pStyle w:val="12"/>
        <w:rPr>
          <w:rFonts w:hint="default"/>
        </w:rPr>
      </w:pPr>
      <w:r>
        <w:t xml:space="preserve"> 开户银行：</w:t>
      </w:r>
    </w:p>
    <w:p w14:paraId="2105431B">
      <w:pPr>
        <w:pStyle w:val="12"/>
        <w:rPr>
          <w:rFonts w:hint="default"/>
        </w:rPr>
      </w:pPr>
      <w:r>
        <w:t xml:space="preserve"> 账号：</w:t>
      </w:r>
    </w:p>
    <w:p w14:paraId="5E687BFC">
      <w:pPr>
        <w:pStyle w:val="12"/>
        <w:rPr>
          <w:rFonts w:hint="default"/>
        </w:rPr>
      </w:pPr>
      <w:r>
        <w:t xml:space="preserve"> 签订时间：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45781">
    <w:pPr>
      <w:pStyle w:val="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C00EC">
    <w:pPr>
      <w:pStyle w:val="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31</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8BE4B"/>
    <w:multiLevelType w:val="singleLevel"/>
    <w:tmpl w:val="C038BE4B"/>
    <w:lvl w:ilvl="0" w:tentative="0">
      <w:start w:val="1"/>
      <w:numFmt w:val="chineseCounting"/>
      <w:suff w:val="nothing"/>
      <w:lvlText w:val="%1、"/>
      <w:lvlJc w:val="left"/>
      <w:pPr>
        <w:ind w:left="140" w:leftChars="0" w:firstLine="0" w:firstLineChars="0"/>
      </w:pPr>
      <w:rPr>
        <w:rFonts w:hint="eastAsia"/>
      </w:rPr>
    </w:lvl>
  </w:abstractNum>
  <w:abstractNum w:abstractNumId="1">
    <w:nsid w:val="CBA59903"/>
    <w:multiLevelType w:val="singleLevel"/>
    <w:tmpl w:val="CBA59903"/>
    <w:lvl w:ilvl="0" w:tentative="0">
      <w:start w:val="5"/>
      <w:numFmt w:val="chineseCounting"/>
      <w:suff w:val="nothing"/>
      <w:lvlText w:val="%1、"/>
      <w:lvlJc w:val="left"/>
      <w:pPr>
        <w:ind w:left="420" w:leftChars="0" w:firstLine="0" w:firstLineChars="0"/>
      </w:pPr>
      <w:rPr>
        <w:rFonts w:hint="eastAsia"/>
      </w:rPr>
    </w:lvl>
  </w:abstractNum>
  <w:abstractNum w:abstractNumId="2">
    <w:nsid w:val="DF906213"/>
    <w:multiLevelType w:val="singleLevel"/>
    <w:tmpl w:val="DF906213"/>
    <w:lvl w:ilvl="0" w:tentative="0">
      <w:start w:val="2"/>
      <w:numFmt w:val="chineseCounting"/>
      <w:suff w:val="nothing"/>
      <w:lvlText w:val="（%1）"/>
      <w:lvlJc w:val="left"/>
      <w:rPr>
        <w:rFonts w:hint="eastAsia"/>
      </w:rPr>
    </w:lvl>
  </w:abstractNum>
  <w:abstractNum w:abstractNumId="3">
    <w:nsid w:val="03650895"/>
    <w:multiLevelType w:val="singleLevel"/>
    <w:tmpl w:val="03650895"/>
    <w:lvl w:ilvl="0" w:tentative="0">
      <w:start w:val="6"/>
      <w:numFmt w:val="chineseCounting"/>
      <w:suff w:val="nothing"/>
      <w:lvlText w:val="%1、"/>
      <w:lvlJc w:val="left"/>
      <w:rPr>
        <w:rFonts w:hint="eastAsia"/>
      </w:rPr>
    </w:lvl>
  </w:abstractNum>
  <w:abstractNum w:abstractNumId="4">
    <w:nsid w:val="5A7124DB"/>
    <w:multiLevelType w:val="singleLevel"/>
    <w:tmpl w:val="5A7124DB"/>
    <w:lvl w:ilvl="0" w:tentative="0">
      <w:start w:val="6"/>
      <w:numFmt w:val="chineseCounting"/>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0A5B2E"/>
    <w:rsid w:val="00164A31"/>
    <w:rsid w:val="0039709A"/>
    <w:rsid w:val="00461B9A"/>
    <w:rsid w:val="00567B92"/>
    <w:rsid w:val="005F574F"/>
    <w:rsid w:val="00697F36"/>
    <w:rsid w:val="00E555AF"/>
    <w:rsid w:val="00E768AC"/>
    <w:rsid w:val="00F06D2D"/>
    <w:rsid w:val="00F941FA"/>
    <w:rsid w:val="00FA088E"/>
    <w:rsid w:val="018E5AA4"/>
    <w:rsid w:val="02F0175E"/>
    <w:rsid w:val="02F32FFC"/>
    <w:rsid w:val="03F40DCB"/>
    <w:rsid w:val="0493254C"/>
    <w:rsid w:val="050F1C5D"/>
    <w:rsid w:val="05DE1D42"/>
    <w:rsid w:val="06253E14"/>
    <w:rsid w:val="0737039C"/>
    <w:rsid w:val="08264164"/>
    <w:rsid w:val="08AC6D67"/>
    <w:rsid w:val="0B4E7969"/>
    <w:rsid w:val="0CD032A8"/>
    <w:rsid w:val="0F0D0EA4"/>
    <w:rsid w:val="1088161D"/>
    <w:rsid w:val="114E2471"/>
    <w:rsid w:val="11A861E6"/>
    <w:rsid w:val="128A74D9"/>
    <w:rsid w:val="12BA6182"/>
    <w:rsid w:val="13F0115D"/>
    <w:rsid w:val="16625439"/>
    <w:rsid w:val="16ED0036"/>
    <w:rsid w:val="177F50ED"/>
    <w:rsid w:val="19E34C69"/>
    <w:rsid w:val="19E83219"/>
    <w:rsid w:val="1ACE4623"/>
    <w:rsid w:val="1C3708A1"/>
    <w:rsid w:val="1C987B51"/>
    <w:rsid w:val="1EC72055"/>
    <w:rsid w:val="21564D3B"/>
    <w:rsid w:val="22B37249"/>
    <w:rsid w:val="22F57F7F"/>
    <w:rsid w:val="26832765"/>
    <w:rsid w:val="2B11421A"/>
    <w:rsid w:val="2B397896"/>
    <w:rsid w:val="2E3305CD"/>
    <w:rsid w:val="2F6824F8"/>
    <w:rsid w:val="31333A24"/>
    <w:rsid w:val="328E2276"/>
    <w:rsid w:val="331D7331"/>
    <w:rsid w:val="336805C6"/>
    <w:rsid w:val="33E632AE"/>
    <w:rsid w:val="36F32FEF"/>
    <w:rsid w:val="378B3228"/>
    <w:rsid w:val="3B0C554C"/>
    <w:rsid w:val="3BB333B7"/>
    <w:rsid w:val="40475EE5"/>
    <w:rsid w:val="41E40EAE"/>
    <w:rsid w:val="421254A9"/>
    <w:rsid w:val="433F7F11"/>
    <w:rsid w:val="43E821A5"/>
    <w:rsid w:val="44017717"/>
    <w:rsid w:val="45CF4D7E"/>
    <w:rsid w:val="481779BC"/>
    <w:rsid w:val="483E6094"/>
    <w:rsid w:val="490833FB"/>
    <w:rsid w:val="4BA206E8"/>
    <w:rsid w:val="4BD56D10"/>
    <w:rsid w:val="4C63679A"/>
    <w:rsid w:val="4CA736FA"/>
    <w:rsid w:val="4EA94EF4"/>
    <w:rsid w:val="53B52B8D"/>
    <w:rsid w:val="56711214"/>
    <w:rsid w:val="5B3E0510"/>
    <w:rsid w:val="5E1216FE"/>
    <w:rsid w:val="5F4A367A"/>
    <w:rsid w:val="608508AD"/>
    <w:rsid w:val="610453C5"/>
    <w:rsid w:val="62684B98"/>
    <w:rsid w:val="652B06E0"/>
    <w:rsid w:val="658F2373"/>
    <w:rsid w:val="65C10056"/>
    <w:rsid w:val="691D5D30"/>
    <w:rsid w:val="6A337DBF"/>
    <w:rsid w:val="6E832F09"/>
    <w:rsid w:val="6EA50A79"/>
    <w:rsid w:val="708C1316"/>
    <w:rsid w:val="718A2543"/>
    <w:rsid w:val="72220F73"/>
    <w:rsid w:val="75E4177A"/>
    <w:rsid w:val="77856BEF"/>
    <w:rsid w:val="77D7204C"/>
    <w:rsid w:val="77F79321"/>
    <w:rsid w:val="78A53442"/>
    <w:rsid w:val="7A173ECC"/>
    <w:rsid w:val="7A2C766A"/>
    <w:rsid w:val="7D485D29"/>
    <w:rsid w:val="7D53791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rPr>
      <w:szCs w:val="22"/>
    </w:rPr>
  </w:style>
  <w:style w:type="paragraph" w:styleId="4">
    <w:name w:val="Body Text First Indent"/>
    <w:basedOn w:val="3"/>
    <w:qFormat/>
    <w:uiPriority w:val="0"/>
    <w:pPr>
      <w:ind w:firstLine="420" w:firstLineChars="100"/>
    </w:p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表格文字"/>
    <w:basedOn w:val="1"/>
    <w:qFormat/>
    <w:uiPriority w:val="0"/>
    <w:pPr>
      <w:spacing w:before="25" w:after="25" w:line="300" w:lineRule="auto"/>
      <w:ind w:firstLine="200" w:firstLineChars="200"/>
    </w:pPr>
    <w:rPr>
      <w:spacing w:val="10"/>
      <w:kern w:val="0"/>
      <w:sz w:val="24"/>
      <w:szCs w:val="20"/>
    </w:r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character" w:customStyle="1" w:styleId="13">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4">
    <w:name w:val="正文首行缩进两字符"/>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11412</Words>
  <Characters>12064</Characters>
  <Lines>182</Lines>
  <Paragraphs>51</Paragraphs>
  <TotalTime>5</TotalTime>
  <ScaleCrop>false</ScaleCrop>
  <LinksUpToDate>false</LinksUpToDate>
  <CharactersWithSpaces>12165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美好明天</cp:lastModifiedBy>
  <dcterms:modified xsi:type="dcterms:W3CDTF">2025-01-22T08:09:35Z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F2C5FD8A3D0344E6AF9144AD3076A350</vt:lpwstr>
  </property>
  <property fmtid="{D5CDD505-2E9C-101B-9397-08002B2CF9AE}" pid="4" name="KSOTemplateDocerSaveRecord">
    <vt:lpwstr>eyJoZGlkIjoiYWRhNDZmMjJlZTg3ODUxNTc2ZDgzOWQwOWZiN2FhNmEiLCJ1c2VySWQiOiI1NzU5NTE5MDgifQ==</vt:lpwstr>
  </property>
</Properties>
</file>