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儿保系统</w:t>
      </w:r>
    </w:p>
    <w:p w14:paraId="03AD8405">
      <w:pPr>
        <w:pStyle w:val="29"/>
        <w:jc w:val="center"/>
        <w:outlineLvl w:val="2"/>
      </w:pPr>
      <w:r>
        <w:rPr>
          <w:b/>
          <w:sz w:val="28"/>
        </w:rPr>
        <w:t>采购项目编号：</w:t>
      </w:r>
      <w:r>
        <w:rPr>
          <w:rFonts w:hint="eastAsia" w:ascii="宋体"/>
          <w:b/>
          <w:sz w:val="30"/>
          <w:szCs w:val="30"/>
          <w:lang w:eastAsia="zh-CN"/>
        </w:rPr>
        <w:t>LYC-2025-006</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1</w:t>
      </w:r>
      <w:r>
        <w:rPr>
          <w:b/>
          <w:sz w:val="28"/>
        </w:rPr>
        <w:t>月</w:t>
      </w:r>
      <w:r>
        <w:rPr>
          <w:rFonts w:hint="eastAsia"/>
          <w:b/>
          <w:sz w:val="28"/>
          <w:lang w:val="en-US" w:eastAsia="zh-CN"/>
        </w:rPr>
        <w:t>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LYC-2025-006</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儿保系统</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11.7</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7日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514"/>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1FD71BA6">
            <w:pPr>
              <w:pStyle w:val="29"/>
            </w:pPr>
            <w:r>
              <w:t>序号</w:t>
            </w:r>
          </w:p>
        </w:tc>
        <w:tc>
          <w:tcPr>
            <w:tcW w:w="2514"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1A636CEC">
            <w:pPr>
              <w:pStyle w:val="29"/>
            </w:pPr>
            <w:r>
              <w:t>1</w:t>
            </w:r>
          </w:p>
        </w:tc>
        <w:tc>
          <w:tcPr>
            <w:tcW w:w="2514"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1500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E1EC2F5">
            <w:pPr>
              <w:pStyle w:val="29"/>
            </w:pPr>
            <w:r>
              <w:t>2</w:t>
            </w:r>
          </w:p>
        </w:tc>
        <w:tc>
          <w:tcPr>
            <w:tcW w:w="2514"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1170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5B3E8E2">
            <w:pPr>
              <w:pStyle w:val="29"/>
            </w:pPr>
            <w:r>
              <w:t>3</w:t>
            </w:r>
          </w:p>
        </w:tc>
        <w:tc>
          <w:tcPr>
            <w:tcW w:w="2514"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7F6B7B6C">
            <w:pPr>
              <w:pStyle w:val="29"/>
            </w:pPr>
            <w:r>
              <w:t>4</w:t>
            </w:r>
          </w:p>
        </w:tc>
        <w:tc>
          <w:tcPr>
            <w:tcW w:w="2514"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0CB150F">
            <w:pPr>
              <w:pStyle w:val="29"/>
              <w:rPr>
                <w:rFonts w:hint="eastAsia" w:eastAsiaTheme="minorEastAsia"/>
                <w:lang w:eastAsia="zh-CN"/>
              </w:rPr>
            </w:pPr>
            <w:r>
              <w:rPr>
                <w:rFonts w:hint="eastAsia"/>
                <w:lang w:val="en-US" w:eastAsia="zh-CN"/>
              </w:rPr>
              <w:t>5</w:t>
            </w:r>
          </w:p>
        </w:tc>
        <w:tc>
          <w:tcPr>
            <w:tcW w:w="2514"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7814278">
            <w:pPr>
              <w:pStyle w:val="29"/>
              <w:rPr>
                <w:rFonts w:hint="eastAsia" w:eastAsiaTheme="minorEastAsia"/>
                <w:lang w:eastAsia="zh-CN"/>
              </w:rPr>
            </w:pPr>
            <w:r>
              <w:rPr>
                <w:rFonts w:hint="eastAsia"/>
                <w:lang w:val="en-US" w:eastAsia="zh-CN"/>
              </w:rPr>
              <w:t>6</w:t>
            </w:r>
          </w:p>
        </w:tc>
        <w:tc>
          <w:tcPr>
            <w:tcW w:w="2514"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409D6B0">
            <w:pPr>
              <w:pStyle w:val="29"/>
              <w:rPr>
                <w:rFonts w:hint="eastAsia" w:eastAsiaTheme="minorEastAsia"/>
                <w:lang w:eastAsia="zh-CN"/>
              </w:rPr>
            </w:pPr>
            <w:r>
              <w:rPr>
                <w:rFonts w:hint="eastAsia"/>
                <w:lang w:val="en-US" w:eastAsia="zh-CN"/>
              </w:rPr>
              <w:t>7</w:t>
            </w:r>
          </w:p>
        </w:tc>
        <w:tc>
          <w:tcPr>
            <w:tcW w:w="2514"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89" w:type="dxa"/>
          </w:tcPr>
          <w:p w14:paraId="7D2E2FE5">
            <w:pPr>
              <w:pStyle w:val="29"/>
              <w:rPr>
                <w:rFonts w:hint="eastAsia" w:eastAsiaTheme="minorEastAsia"/>
                <w:lang w:eastAsia="zh-CN"/>
              </w:rPr>
            </w:pPr>
            <w:r>
              <w:rPr>
                <w:rFonts w:hint="eastAsia"/>
                <w:lang w:val="en-US" w:eastAsia="zh-CN"/>
              </w:rPr>
              <w:t>8</w:t>
            </w:r>
          </w:p>
        </w:tc>
        <w:tc>
          <w:tcPr>
            <w:tcW w:w="2514"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3876C12">
            <w:pPr>
              <w:pStyle w:val="29"/>
              <w:rPr>
                <w:rFonts w:hint="eastAsia" w:eastAsiaTheme="minorEastAsia"/>
                <w:lang w:eastAsia="zh-CN"/>
              </w:rPr>
            </w:pPr>
            <w:r>
              <w:rPr>
                <w:rFonts w:hint="eastAsia"/>
                <w:lang w:val="en-US" w:eastAsia="zh-CN"/>
              </w:rPr>
              <w:t>9</w:t>
            </w:r>
          </w:p>
        </w:tc>
        <w:tc>
          <w:tcPr>
            <w:tcW w:w="2514"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70A10371">
            <w:pPr>
              <w:pStyle w:val="29"/>
              <w:rPr>
                <w:rFonts w:hint="eastAsia" w:eastAsiaTheme="minorEastAsia"/>
                <w:lang w:eastAsia="zh-CN"/>
              </w:rPr>
            </w:pPr>
            <w:r>
              <w:t>1</w:t>
            </w:r>
            <w:r>
              <w:rPr>
                <w:rFonts w:hint="eastAsia"/>
                <w:lang w:val="en-US" w:eastAsia="zh-CN"/>
              </w:rPr>
              <w:t>0</w:t>
            </w:r>
          </w:p>
        </w:tc>
        <w:tc>
          <w:tcPr>
            <w:tcW w:w="2514"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F7DACD7">
            <w:pPr>
              <w:pStyle w:val="29"/>
              <w:rPr>
                <w:rFonts w:hint="eastAsia" w:eastAsiaTheme="minorEastAsia"/>
                <w:lang w:eastAsia="zh-CN"/>
              </w:rPr>
            </w:pPr>
            <w:r>
              <w:t>1</w:t>
            </w:r>
            <w:r>
              <w:rPr>
                <w:rFonts w:hint="eastAsia"/>
                <w:lang w:val="en-US" w:eastAsia="zh-CN"/>
              </w:rPr>
              <w:t>1</w:t>
            </w:r>
          </w:p>
        </w:tc>
        <w:tc>
          <w:tcPr>
            <w:tcW w:w="2514"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3BE8DDCE">
            <w:pPr>
              <w:pStyle w:val="29"/>
              <w:rPr>
                <w:rFonts w:hint="eastAsia" w:eastAsiaTheme="minorEastAsia"/>
                <w:lang w:eastAsia="zh-CN"/>
              </w:rPr>
            </w:pPr>
            <w:r>
              <w:t>1</w:t>
            </w:r>
            <w:r>
              <w:rPr>
                <w:rFonts w:hint="eastAsia"/>
                <w:lang w:val="en-US" w:eastAsia="zh-CN"/>
              </w:rPr>
              <w:t>2</w:t>
            </w:r>
          </w:p>
        </w:tc>
        <w:tc>
          <w:tcPr>
            <w:tcW w:w="2514"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1E675DDE">
            <w:pPr>
              <w:pStyle w:val="29"/>
              <w:rPr>
                <w:rFonts w:hint="default" w:eastAsiaTheme="minorEastAsia"/>
                <w:lang w:val="en-US" w:eastAsia="zh-CN"/>
              </w:rPr>
            </w:pPr>
            <w:r>
              <w:rPr>
                <w:rFonts w:hint="eastAsia"/>
                <w:lang w:val="en-US" w:eastAsia="zh-CN"/>
              </w:rPr>
              <w:t>13</w:t>
            </w:r>
          </w:p>
        </w:tc>
        <w:tc>
          <w:tcPr>
            <w:tcW w:w="2514" w:type="dxa"/>
          </w:tcPr>
          <w:p w14:paraId="381912E1">
            <w:pPr>
              <w:pStyle w:val="29"/>
            </w:pPr>
            <w:r>
              <w:t>进口产品</w:t>
            </w:r>
          </w:p>
        </w:tc>
        <w:tc>
          <w:tcPr>
            <w:tcW w:w="5184" w:type="dxa"/>
          </w:tcPr>
          <w:p w14:paraId="135BE7AA">
            <w:pPr>
              <w:pStyle w:val="29"/>
            </w:pPr>
            <w:r>
              <w:t>不允许</w:t>
            </w:r>
          </w:p>
        </w:tc>
      </w:tr>
    </w:tbl>
    <w:p w14:paraId="0D0B5879">
      <w:pPr>
        <w:pStyle w:val="3"/>
        <w:keepNext w:val="0"/>
        <w:keepLines w:val="0"/>
        <w:spacing w:before="0" w:after="0" w:line="400" w:lineRule="exact"/>
        <w:jc w:val="center"/>
        <w:rPr>
          <w:rFonts w:hint="eastAsia" w:ascii="黑体"/>
          <w:bCs w:val="0"/>
        </w:rPr>
      </w:pPr>
      <w:bookmarkStart w:id="6" w:name="_Toc13038"/>
      <w:bookmarkStart w:id="7" w:name="_Toc31240"/>
      <w:bookmarkStart w:id="8" w:name="_Toc17067"/>
      <w:bookmarkStart w:id="9" w:name="_Toc15215"/>
      <w:bookmarkStart w:id="10" w:name="_Toc24295"/>
    </w:p>
    <w:p w14:paraId="5C62FDB1">
      <w:pPr>
        <w:pStyle w:val="3"/>
        <w:keepNext w:val="0"/>
        <w:keepLines w:val="0"/>
        <w:spacing w:before="0" w:after="0" w:line="400" w:lineRule="exact"/>
        <w:jc w:val="center"/>
        <w:rPr>
          <w:rFonts w:hint="eastAsia" w:ascii="黑体"/>
          <w:bCs w:val="0"/>
        </w:rPr>
      </w:pPr>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430773927"/>
      <w:bookmarkStart w:id="14" w:name="_Toc101338364"/>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3518740">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5CB78E0">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89075878"/>
      <w:bookmarkStart w:id="19" w:name="_Toc183682368"/>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儿保系统</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8"/>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68"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68"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儿保系统</w:t>
            </w:r>
          </w:p>
        </w:tc>
        <w:tc>
          <w:tcPr>
            <w:tcW w:w="1356" w:type="dxa"/>
            <w:shd w:val="clear" w:color="auto" w:fill="auto"/>
            <w:vAlign w:val="center"/>
          </w:tcPr>
          <w:p w14:paraId="60E521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c>
          <w:tcPr>
            <w:tcW w:w="1140" w:type="dxa"/>
            <w:tcBorders>
              <w:top w:val="single" w:color="auto" w:sz="4" w:space="0"/>
              <w:bottom w:val="single" w:color="auto" w:sz="4" w:space="0"/>
            </w:tcBorders>
            <w:shd w:val="clear" w:color="auto" w:fill="auto"/>
            <w:vAlign w:val="center"/>
          </w:tcPr>
          <w:p w14:paraId="28B5E902">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1</w:t>
            </w:r>
          </w:p>
        </w:tc>
        <w:tc>
          <w:tcPr>
            <w:tcW w:w="113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8703"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31"/>
        <w:gridCol w:w="1863"/>
        <w:gridCol w:w="6009"/>
      </w:tblGrid>
      <w:tr w14:paraId="3B348AB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831" w:type="dxa"/>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14:paraId="14FEC9F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bCs/>
                <w:i w:val="0"/>
                <w:color w:val="auto"/>
                <w:kern w:val="0"/>
                <w:sz w:val="20"/>
                <w:szCs w:val="20"/>
                <w:u w:val="none"/>
                <w:lang w:val="en-US" w:eastAsia="zh-CN" w:bidi="ar-SA"/>
              </w:rPr>
            </w:pPr>
            <w:r>
              <w:rPr>
                <w:rFonts w:hint="eastAsia" w:asciiTheme="minorEastAsia" w:hAnsiTheme="minorEastAsia" w:eastAsiaTheme="minorEastAsia" w:cstheme="minorEastAsia"/>
                <w:b/>
                <w:bCs/>
                <w:i w:val="0"/>
                <w:color w:val="auto"/>
                <w:kern w:val="0"/>
                <w:sz w:val="20"/>
                <w:szCs w:val="20"/>
                <w:u w:val="none"/>
                <w:lang w:val="en-US" w:eastAsia="zh-CN" w:bidi="ar-SA"/>
              </w:rPr>
              <w:t>菜单</w:t>
            </w:r>
          </w:p>
        </w:tc>
        <w:tc>
          <w:tcPr>
            <w:tcW w:w="1863" w:type="dxa"/>
            <w:tcBorders>
              <w:top w:val="single" w:color="auto" w:sz="6" w:space="0"/>
              <w:left w:val="single" w:color="auto" w:sz="4" w:space="0"/>
              <w:bottom w:val="single" w:color="auto" w:sz="6" w:space="0"/>
              <w:right w:val="single" w:color="auto" w:sz="6" w:space="0"/>
            </w:tcBorders>
            <w:shd w:val="clear" w:color="auto" w:fill="FFFFFF"/>
            <w:vAlign w:val="center"/>
          </w:tcPr>
          <w:p w14:paraId="24955EA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bCs/>
                <w:i w:val="0"/>
                <w:color w:val="auto"/>
                <w:kern w:val="0"/>
                <w:sz w:val="20"/>
                <w:szCs w:val="20"/>
                <w:u w:val="none"/>
                <w:lang w:val="en-US" w:eastAsia="zh-CN" w:bidi="ar-SA"/>
              </w:rPr>
            </w:pPr>
            <w:r>
              <w:rPr>
                <w:rFonts w:hint="eastAsia" w:asciiTheme="minorEastAsia" w:hAnsiTheme="minorEastAsia" w:eastAsiaTheme="minorEastAsia" w:cstheme="minorEastAsia"/>
                <w:b/>
                <w:bCs/>
                <w:i w:val="0"/>
                <w:color w:val="auto"/>
                <w:kern w:val="0"/>
                <w:sz w:val="20"/>
                <w:szCs w:val="20"/>
                <w:u w:val="none"/>
                <w:lang w:val="en-US" w:eastAsia="zh-CN" w:bidi="ar-SA"/>
              </w:rPr>
              <w:t>子功能</w:t>
            </w:r>
          </w:p>
        </w:tc>
        <w:tc>
          <w:tcPr>
            <w:tcW w:w="6009" w:type="dxa"/>
            <w:tcBorders>
              <w:top w:val="single" w:color="auto" w:sz="6" w:space="0"/>
              <w:left w:val="single" w:color="auto" w:sz="4" w:space="0"/>
              <w:bottom w:val="single" w:color="auto" w:sz="6" w:space="0"/>
              <w:right w:val="single" w:color="auto" w:sz="6" w:space="0"/>
            </w:tcBorders>
            <w:shd w:val="clear" w:color="auto" w:fill="FFFFFF"/>
            <w:vAlign w:val="center"/>
          </w:tcPr>
          <w:p w14:paraId="4F1FB07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bCs/>
                <w:i w:val="0"/>
                <w:color w:val="auto"/>
                <w:kern w:val="0"/>
                <w:sz w:val="20"/>
                <w:szCs w:val="20"/>
                <w:u w:val="none"/>
                <w:lang w:val="en-US" w:eastAsia="zh-CN" w:bidi="ar-SA"/>
              </w:rPr>
            </w:pPr>
            <w:r>
              <w:rPr>
                <w:rFonts w:hint="eastAsia" w:asciiTheme="minorEastAsia" w:hAnsiTheme="minorEastAsia" w:eastAsiaTheme="minorEastAsia" w:cstheme="minorEastAsia"/>
                <w:b/>
                <w:bCs/>
                <w:i w:val="0"/>
                <w:color w:val="auto"/>
                <w:kern w:val="0"/>
                <w:sz w:val="20"/>
                <w:szCs w:val="20"/>
                <w:u w:val="none"/>
                <w:lang w:val="en-US" w:eastAsia="zh-CN" w:bidi="ar-SA"/>
              </w:rPr>
              <w:t>描述</w:t>
            </w:r>
          </w:p>
        </w:tc>
      </w:tr>
      <w:tr w14:paraId="256860C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831" w:type="dxa"/>
            <w:vMerge w:val="restart"/>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14:paraId="788F3E0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新生儿出生登记</w:t>
            </w:r>
          </w:p>
        </w:tc>
        <w:tc>
          <w:tcPr>
            <w:tcW w:w="1863" w:type="dxa"/>
            <w:tcBorders>
              <w:top w:val="single" w:color="auto" w:sz="6" w:space="0"/>
              <w:left w:val="single" w:color="auto" w:sz="4" w:space="0"/>
              <w:bottom w:val="single" w:color="auto" w:sz="6" w:space="0"/>
              <w:right w:val="single" w:color="auto" w:sz="6" w:space="0"/>
            </w:tcBorders>
            <w:shd w:val="clear" w:color="auto" w:fill="FFFFFF"/>
            <w:vAlign w:val="center"/>
          </w:tcPr>
          <w:p w14:paraId="4AC44762">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新生儿档案登记</w:t>
            </w:r>
          </w:p>
        </w:tc>
        <w:tc>
          <w:tcPr>
            <w:tcW w:w="6009" w:type="dxa"/>
            <w:tcBorders>
              <w:top w:val="single" w:color="auto" w:sz="6" w:space="0"/>
              <w:left w:val="single" w:color="auto" w:sz="4" w:space="0"/>
              <w:bottom w:val="single" w:color="auto" w:sz="6" w:space="0"/>
              <w:right w:val="single" w:color="auto" w:sz="6" w:space="0"/>
            </w:tcBorders>
            <w:shd w:val="clear" w:color="auto" w:fill="FFFFFF"/>
            <w:vAlign w:val="center"/>
          </w:tcPr>
          <w:p w14:paraId="5CB3B6BB">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 xml:space="preserve"> 对新生儿基本信息、家庭信息、孕期信息、分娩信息等信息进行管理和维护，内容包含新生儿姓名、性别、出生日期、身高、体重、头围、父母姓名年龄以及出生新生儿的保健知识等信息，并与院内系统互通建立新生儿唯一识别号，并确认入组成员及建立识别。</w:t>
            </w:r>
          </w:p>
        </w:tc>
      </w:tr>
      <w:tr w14:paraId="456116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74D5E61B">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409B6CB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矫正月龄</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B0A977F">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矫正月龄: 系统根据档案信息中的出生胎龄、出生日期自动计算矫正胎龄，并在工作站中进行显示及提醒。</w:t>
            </w:r>
          </w:p>
        </w:tc>
      </w:tr>
      <w:tr w14:paraId="6606325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2839823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5F515EF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母亲孕期情况</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E17E7DF">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包括孕前和孕期母亲情况，妊娠前：(1)接触过有害理化因素；(2)有不良妊娠结局及分娩史；(3)因不孕不育行辅助医学技术受孕等；(4)患有残疾并影响养育能力等；(5)未婚先孕或受虐、吸毒；妊娠期：(1)TORCH 感染；(2)HIV和TPPA，乙肝；(3)使用过对胎儿有影响的药物；(4)妊娠期高血压疾病；(5)妊娠期糖尿病；(6)甲状腺疾病；(7)急、慢性疾病仍需治疗监测等可能影响到新生儿的其他妊娠期。</w:t>
            </w:r>
          </w:p>
        </w:tc>
      </w:tr>
      <w:tr w14:paraId="3370AC2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E30011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0B4F253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疫苗接种情况</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AE8E382">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主要是乙肝疫苗第一针、第二针，卡介苗</w:t>
            </w:r>
          </w:p>
        </w:tc>
      </w:tr>
      <w:tr w14:paraId="66C9A80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bottom w:val="single" w:color="auto" w:sz="6" w:space="0"/>
              <w:right w:val="single" w:color="auto" w:sz="4" w:space="0"/>
            </w:tcBorders>
            <w:shd w:val="clear" w:color="auto" w:fill="FFFFFF"/>
            <w:tcMar>
              <w:top w:w="0" w:type="dxa"/>
              <w:left w:w="105" w:type="dxa"/>
              <w:bottom w:w="0" w:type="dxa"/>
              <w:right w:w="105" w:type="dxa"/>
            </w:tcMar>
            <w:vAlign w:val="center"/>
          </w:tcPr>
          <w:p w14:paraId="55250A4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0DAC77A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新生儿档案打印</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8190940">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登记完成后，系统可自动打印新生儿的建档记录单，打印档案记录前可预览档案记录。</w:t>
            </w:r>
          </w:p>
        </w:tc>
      </w:tr>
      <w:tr w14:paraId="14FE0DF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831" w:type="dxa"/>
            <w:vMerge w:val="restart"/>
            <w:tcBorders>
              <w:top w:val="nil"/>
              <w:left w:val="single" w:color="auto" w:sz="4" w:space="0"/>
              <w:right w:val="single" w:color="auto" w:sz="4" w:space="0"/>
            </w:tcBorders>
            <w:shd w:val="clear" w:color="auto" w:fill="FFFFFF"/>
            <w:tcMar>
              <w:top w:w="0" w:type="dxa"/>
              <w:left w:w="105" w:type="dxa"/>
              <w:bottom w:w="0" w:type="dxa"/>
              <w:right w:w="105" w:type="dxa"/>
            </w:tcMar>
            <w:vAlign w:val="center"/>
          </w:tcPr>
          <w:p w14:paraId="4CD33F89">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新生儿体检信息管理</w:t>
            </w:r>
          </w:p>
        </w:tc>
        <w:tc>
          <w:tcPr>
            <w:tcW w:w="1863" w:type="dxa"/>
            <w:tcBorders>
              <w:top w:val="nil"/>
              <w:left w:val="single" w:color="auto" w:sz="4" w:space="0"/>
              <w:bottom w:val="single" w:color="auto" w:sz="6" w:space="0"/>
              <w:right w:val="single" w:color="auto" w:sz="6" w:space="0"/>
            </w:tcBorders>
            <w:shd w:val="clear" w:color="auto" w:fill="FFFFFF"/>
            <w:vAlign w:val="center"/>
          </w:tcPr>
          <w:p w14:paraId="1815494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新生儿测量记录管理</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0714A02">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对身高（身长）、体重、头围信息进行记录</w:t>
            </w:r>
          </w:p>
        </w:tc>
      </w:tr>
      <w:tr w14:paraId="0ABE131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349D055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38C5312">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新生儿体检报告打印</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2AD2021">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对新生儿体检报告进行打印。</w:t>
            </w:r>
          </w:p>
        </w:tc>
      </w:tr>
      <w:tr w14:paraId="0DBE7A3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7"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2183DB3A">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1646EC8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高危儿体检信息采集</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27EE1A3">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对高危儿随访期间的门诊体检信息进行采集汇总。</w:t>
            </w:r>
          </w:p>
        </w:tc>
      </w:tr>
      <w:tr w14:paraId="3E6ECB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780DF5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4" w:space="0"/>
              <w:right w:val="single" w:color="auto" w:sz="6" w:space="0"/>
            </w:tcBorders>
            <w:shd w:val="clear" w:color="auto" w:fill="FFFFFF"/>
            <w:vAlign w:val="center"/>
          </w:tcPr>
          <w:p w14:paraId="2F9E6EDD">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新生儿体检评价</w:t>
            </w:r>
          </w:p>
        </w:tc>
        <w:tc>
          <w:tcPr>
            <w:tcW w:w="6009" w:type="dxa"/>
            <w:tcBorders>
              <w:top w:val="nil"/>
              <w:left w:val="single" w:color="auto" w:sz="4" w:space="0"/>
              <w:bottom w:val="single" w:color="auto" w:sz="4" w:space="0"/>
              <w:right w:val="single" w:color="auto" w:sz="6" w:space="0"/>
            </w:tcBorders>
            <w:shd w:val="clear" w:color="auto" w:fill="FFFFFF"/>
            <w:vAlign w:val="center"/>
          </w:tcPr>
          <w:p w14:paraId="1747AC01">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bookmarkStart w:id="28" w:name="_Toc486903334"/>
            <w:bookmarkStart w:id="29" w:name="_Toc486776420"/>
            <w:r>
              <w:rPr>
                <w:rFonts w:hint="eastAsia" w:asciiTheme="minorEastAsia" w:hAnsiTheme="minorEastAsia" w:eastAsiaTheme="minorEastAsia" w:cstheme="minorEastAsia"/>
                <w:b w:val="0"/>
                <w:bCs w:val="0"/>
                <w:i w:val="0"/>
                <w:color w:val="auto"/>
                <w:kern w:val="0"/>
                <w:sz w:val="20"/>
                <w:szCs w:val="20"/>
                <w:u w:val="none"/>
                <w:lang w:val="en-US" w:eastAsia="zh-CN" w:bidi="ar-SA"/>
              </w:rPr>
              <w:t>根据采集的体检信息自动生成相应的体检评价，并对评价进行提醒及宣教。</w:t>
            </w:r>
            <w:bookmarkEnd w:id="28"/>
            <w:bookmarkEnd w:id="29"/>
          </w:p>
        </w:tc>
      </w:tr>
      <w:tr w14:paraId="76E8EBF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CC03049">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14:paraId="5DD71C7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新生儿健康指导管理</w:t>
            </w:r>
          </w:p>
        </w:tc>
        <w:tc>
          <w:tcPr>
            <w:tcW w:w="6009" w:type="dxa"/>
            <w:tcBorders>
              <w:top w:val="single" w:color="auto" w:sz="4" w:space="0"/>
              <w:left w:val="single" w:color="auto" w:sz="4" w:space="0"/>
              <w:bottom w:val="single" w:color="auto" w:sz="4" w:space="0"/>
              <w:right w:val="single" w:color="auto" w:sz="4" w:space="0"/>
            </w:tcBorders>
            <w:shd w:val="clear" w:color="auto" w:fill="FFFFFF"/>
            <w:vAlign w:val="center"/>
          </w:tcPr>
          <w:p w14:paraId="1F199548">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系统根据新生儿的门诊体检时间段，自动生成新生儿的营养指导内容，分阶段行为发育指导，对家长进行相应的健康指导。</w:t>
            </w:r>
          </w:p>
        </w:tc>
      </w:tr>
      <w:tr w14:paraId="3634D38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6E42A9A">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single" w:color="auto" w:sz="4" w:space="0"/>
              <w:left w:val="single" w:color="auto" w:sz="4" w:space="0"/>
              <w:bottom w:val="single" w:color="auto" w:sz="4" w:space="0"/>
              <w:right w:val="single" w:color="auto" w:sz="4" w:space="0"/>
            </w:tcBorders>
            <w:shd w:val="clear" w:color="auto" w:fill="FFFFFF"/>
            <w:vAlign w:val="center"/>
          </w:tcPr>
          <w:p w14:paraId="5D66824A">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自动识别专案管理</w:t>
            </w:r>
          </w:p>
        </w:tc>
        <w:tc>
          <w:tcPr>
            <w:tcW w:w="6009" w:type="dxa"/>
            <w:tcBorders>
              <w:top w:val="single" w:color="auto" w:sz="4" w:space="0"/>
              <w:left w:val="single" w:color="auto" w:sz="4" w:space="0"/>
              <w:bottom w:val="single" w:color="auto" w:sz="4" w:space="0"/>
              <w:right w:val="single" w:color="auto" w:sz="4" w:space="0"/>
            </w:tcBorders>
            <w:shd w:val="clear" w:color="auto" w:fill="FFFFFF"/>
            <w:vAlign w:val="center"/>
          </w:tcPr>
          <w:p w14:paraId="7679B27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 xml:space="preserve">根据新生儿的出生胎龄、出生体重及管理类型自动介入高危儿专案管理，根据国家标准适时提醒相关医生进行专案的结案工作。 </w:t>
            </w:r>
          </w:p>
        </w:tc>
      </w:tr>
      <w:tr w14:paraId="22950A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14:paraId="0A2F267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single" w:color="auto" w:sz="4" w:space="0"/>
              <w:left w:val="single" w:color="auto" w:sz="4" w:space="0"/>
              <w:bottom w:val="single" w:color="auto" w:sz="6" w:space="0"/>
              <w:right w:val="single" w:color="auto" w:sz="6" w:space="0"/>
            </w:tcBorders>
            <w:shd w:val="clear" w:color="auto" w:fill="FFFFFF"/>
            <w:vAlign w:val="center"/>
          </w:tcPr>
          <w:p w14:paraId="4F5EA55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自动提取及查看化验报告</w:t>
            </w:r>
          </w:p>
        </w:tc>
        <w:tc>
          <w:tcPr>
            <w:tcW w:w="6009" w:type="dxa"/>
            <w:tcBorders>
              <w:top w:val="single" w:color="auto" w:sz="4" w:space="0"/>
              <w:left w:val="single" w:color="auto" w:sz="4" w:space="0"/>
              <w:bottom w:val="single" w:color="auto" w:sz="6" w:space="0"/>
              <w:right w:val="single" w:color="auto" w:sz="6" w:space="0"/>
            </w:tcBorders>
            <w:shd w:val="clear" w:color="auto" w:fill="FFFFFF"/>
            <w:vAlign w:val="center"/>
          </w:tcPr>
          <w:p w14:paraId="1418ADA9">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提取血常规、甲功三项、生化全套等相关信息。可在系统中查看化验报告，并对异常报告进行醒目颜色提醒。</w:t>
            </w:r>
          </w:p>
        </w:tc>
      </w:tr>
      <w:tr w14:paraId="04A7481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DF37EA3">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2F5232F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曲线图管理</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5E2045A">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纠正胎龄50周前Feton曲线图，纠正胎龄50周后WHO (中国九省市)0-3岁男/女童身高、体重、头围百分位曲线图。</w:t>
            </w:r>
          </w:p>
        </w:tc>
      </w:tr>
      <w:tr w14:paraId="239CFDC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0F91B7D">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2DB4302D">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新生儿高危管理</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0749EBA">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按照《高危新生儿分类分级管理专家共识（2023）》对新生儿进行五色分类管理，五色包括绿色（正常新生儿）、黄色（低危组）、橙色（中危组）、红色（高危组）、紫色（传染性疾病新生儿），并在就诊列表中进行颜色标记。</w:t>
            </w:r>
          </w:p>
        </w:tc>
      </w:tr>
      <w:tr w14:paraId="26EA953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08BBAB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7F8470B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高危儿行为发育记录</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45D437D">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对足月高危、高危早产、低危早产儿童行为发育分阶段进行相关管理。</w:t>
            </w:r>
          </w:p>
        </w:tc>
      </w:tr>
      <w:tr w14:paraId="68CCBA9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3" w:hRule="atLeast"/>
          <w:jc w:val="center"/>
        </w:trPr>
        <w:tc>
          <w:tcPr>
            <w:tcW w:w="831" w:type="dxa"/>
            <w:vMerge w:val="continue"/>
            <w:tcBorders>
              <w:left w:val="single" w:color="auto" w:sz="4" w:space="0"/>
              <w:bottom w:val="single" w:color="auto" w:sz="6" w:space="0"/>
              <w:right w:val="single" w:color="auto" w:sz="4" w:space="0"/>
            </w:tcBorders>
            <w:shd w:val="clear" w:color="auto" w:fill="FFFFFF"/>
            <w:tcMar>
              <w:top w:w="0" w:type="dxa"/>
              <w:left w:w="105" w:type="dxa"/>
              <w:bottom w:w="0" w:type="dxa"/>
              <w:right w:w="105" w:type="dxa"/>
            </w:tcMar>
            <w:vAlign w:val="center"/>
          </w:tcPr>
          <w:p w14:paraId="4DA42811">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64F203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高危儿干预评估表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C88555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针对早期发现的高危儿在家庭干预训练的情况进行记录。</w:t>
            </w:r>
          </w:p>
        </w:tc>
      </w:tr>
      <w:tr w14:paraId="022D67C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831" w:type="dxa"/>
            <w:vMerge w:val="restart"/>
            <w:tcBorders>
              <w:top w:val="nil"/>
              <w:left w:val="single" w:color="auto" w:sz="4" w:space="0"/>
              <w:right w:val="single" w:color="auto" w:sz="4" w:space="0"/>
            </w:tcBorders>
            <w:shd w:val="clear" w:color="auto" w:fill="FFFFFF"/>
            <w:tcMar>
              <w:top w:w="0" w:type="dxa"/>
              <w:left w:w="105" w:type="dxa"/>
              <w:bottom w:w="0" w:type="dxa"/>
              <w:right w:w="105" w:type="dxa"/>
            </w:tcMar>
            <w:vAlign w:val="center"/>
          </w:tcPr>
          <w:p w14:paraId="66046191">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专案专病管理</w:t>
            </w:r>
          </w:p>
        </w:tc>
        <w:tc>
          <w:tcPr>
            <w:tcW w:w="1863" w:type="dxa"/>
            <w:tcBorders>
              <w:top w:val="nil"/>
              <w:left w:val="single" w:color="auto" w:sz="4" w:space="0"/>
              <w:bottom w:val="single" w:color="auto" w:sz="6" w:space="0"/>
              <w:right w:val="single" w:color="auto" w:sz="6" w:space="0"/>
            </w:tcBorders>
            <w:shd w:val="clear" w:color="auto" w:fill="FFFFFF"/>
            <w:vAlign w:val="center"/>
          </w:tcPr>
          <w:p w14:paraId="47796F7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黄疸登记</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48E20F8B">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出生即可进行登记管理信息。</w:t>
            </w:r>
          </w:p>
        </w:tc>
      </w:tr>
      <w:tr w14:paraId="2B6B808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505A6851">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6E77A18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早产儿初诊</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80BC4BC">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对早产儿的初诊情况提供专业的信息模板，为医生初诊提供指导模板。</w:t>
            </w:r>
          </w:p>
        </w:tc>
      </w:tr>
      <w:tr w14:paraId="7205CAF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0DC80D7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F1E20A2">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早产儿复诊</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199093A">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对早产儿的复诊情况提供专业的信息模板，为医生复诊提供指导模板。</w:t>
            </w:r>
          </w:p>
        </w:tc>
      </w:tr>
      <w:tr w14:paraId="77769A5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bottom w:val="single" w:color="auto" w:sz="6" w:space="0"/>
              <w:right w:val="single" w:color="auto" w:sz="4" w:space="0"/>
            </w:tcBorders>
            <w:shd w:val="clear" w:color="auto" w:fill="FFFFFF"/>
            <w:tcMar>
              <w:top w:w="0" w:type="dxa"/>
              <w:left w:w="105" w:type="dxa"/>
              <w:bottom w:w="0" w:type="dxa"/>
              <w:right w:w="105" w:type="dxa"/>
            </w:tcMar>
            <w:vAlign w:val="center"/>
          </w:tcPr>
          <w:p w14:paraId="1DEAA04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8B5788F">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高危儿专案管理</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F5D8834">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对早产、窒息、高胆红素血症、新生儿期间严重疾病、患有遗传病或遗传代谢性疾病、母亲有中度及以上妊娠期严重疾病的患儿进行专案管理。</w:t>
            </w:r>
          </w:p>
        </w:tc>
      </w:tr>
      <w:tr w14:paraId="359619F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restart"/>
            <w:tcBorders>
              <w:top w:val="nil"/>
              <w:left w:val="single" w:color="auto" w:sz="4" w:space="0"/>
              <w:right w:val="single" w:color="auto" w:sz="4" w:space="0"/>
            </w:tcBorders>
            <w:shd w:val="clear" w:color="auto" w:fill="FFFFFF"/>
            <w:tcMar>
              <w:top w:w="0" w:type="dxa"/>
              <w:left w:w="105" w:type="dxa"/>
              <w:bottom w:w="0" w:type="dxa"/>
              <w:right w:w="105" w:type="dxa"/>
            </w:tcMar>
            <w:vAlign w:val="center"/>
          </w:tcPr>
          <w:p w14:paraId="4BD9525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测评管理</w:t>
            </w:r>
          </w:p>
        </w:tc>
        <w:tc>
          <w:tcPr>
            <w:tcW w:w="1863" w:type="dxa"/>
            <w:tcBorders>
              <w:top w:val="nil"/>
              <w:left w:val="single" w:color="auto" w:sz="4" w:space="0"/>
              <w:bottom w:val="single" w:color="auto" w:sz="6" w:space="0"/>
              <w:right w:val="single" w:color="auto" w:sz="6" w:space="0"/>
            </w:tcBorders>
            <w:shd w:val="clear" w:color="auto" w:fill="FFFFFF"/>
            <w:vAlign w:val="center"/>
          </w:tcPr>
          <w:p w14:paraId="73BFF1ED">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0～6岁发育筛查测试（DST）</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FCA1D11">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0～6岁育筛查测试记录，并生成结果报告。</w:t>
            </w:r>
          </w:p>
        </w:tc>
      </w:tr>
      <w:tr w14:paraId="266D681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7737534B">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5AD91C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一岁以内20项神经运动检查（INMA）</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DA25463">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一岁以内20项神经运动检查，记录，并生成结果报告。</w:t>
            </w:r>
          </w:p>
        </w:tc>
      </w:tr>
      <w:tr w14:paraId="120C2ED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2F650E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2F092CB9">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Alberta婴儿运动量表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CFAA508">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0-18月龄婴儿运动量表，记录，并生成结果报告。</w:t>
            </w:r>
          </w:p>
        </w:tc>
      </w:tr>
      <w:tr w14:paraId="25141A5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425A59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0C070DA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贝利婴幼儿发展量表（BSTD）</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54088DA8">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2-60月龄贝利婴幼儿发展量表（BSTD），记录，并生成结果报告。</w:t>
            </w:r>
          </w:p>
        </w:tc>
      </w:tr>
      <w:tr w14:paraId="298DAC3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7AFF286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1B1B770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0-6岁儿童神经心理发育检查</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41D2E36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0-6岁儿童神经心理发育检查，记录，并生成结果报告。</w:t>
            </w:r>
          </w:p>
        </w:tc>
      </w:tr>
      <w:tr w14:paraId="0BE3035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0D5476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64F042F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Gesell量表（直录结果）</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4AEC0D69">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0-6岁龄Gesell量表直录结果并生成结果报告。</w:t>
            </w:r>
          </w:p>
        </w:tc>
      </w:tr>
      <w:tr w14:paraId="22A77B2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59F9D4A">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1E7FDF13">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M-CHAT量表（直录结果）</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E9CF6C6">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16-30月龄M-CHAT量表，直录，并生成结果报告。</w:t>
            </w:r>
          </w:p>
        </w:tc>
      </w:tr>
      <w:tr w14:paraId="16A4B40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3"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424E20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39ACBF8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大伟氏（WISC-R）</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E91EDC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7-17岁龄大伟氏（WISC-R），直录，并生成结果报告。</w:t>
            </w:r>
          </w:p>
        </w:tc>
      </w:tr>
      <w:tr w14:paraId="74025E7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7223C10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227356F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小伟氏（上海-WPPSI）</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3B7C53B">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4-7岁龄小伟氏（上海-WPPSI），直录，并生成结果报告。</w:t>
            </w:r>
          </w:p>
        </w:tc>
      </w:tr>
      <w:tr w14:paraId="6AD64CF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1182C67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5893CDA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瑞文智力测验</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587D8840">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5-30岁瑞文智力测验，记录，并生成结果报告。</w:t>
            </w:r>
          </w:p>
        </w:tc>
      </w:tr>
      <w:tr w14:paraId="7CF4CA2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7"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3CD8EF0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53817A82">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耶鲁综合抽动量表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0C1B449">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0-18岁龄耶鲁综合抽动量表记录，并生成结果报告。</w:t>
            </w:r>
          </w:p>
        </w:tc>
      </w:tr>
      <w:tr w14:paraId="4D4A1AC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6698EC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168009A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孤独症行为评定量表（ABC量表）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5027C9C">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0-13岁孤独症行为评定量表（ABC量表）记录，并生成结果报告。</w:t>
            </w:r>
          </w:p>
        </w:tc>
      </w:tr>
      <w:tr w14:paraId="211DD41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11A2AD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58A99E9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孤独症行为评定量表（CHAT-23）</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8ABA1C4">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0-18月龄孤独症行为评定量表（CHAT-23）记录，并生成结果报告。</w:t>
            </w:r>
          </w:p>
        </w:tc>
      </w:tr>
      <w:tr w14:paraId="3455B77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26E55C57">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477B062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孤独症行为评定量表（M-CHAT）</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C8D411B">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16-30月龄孤独症行为评定量表（M-CHAT）记录，并生成结果报告。</w:t>
            </w:r>
          </w:p>
        </w:tc>
      </w:tr>
      <w:tr w14:paraId="04A3669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3"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6CB16D3C">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708F80E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父母问卷PSQ</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74D2862">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3-16岁龄儿童父母问卷PSQ记录，并生成结果报告。</w:t>
            </w:r>
          </w:p>
        </w:tc>
      </w:tr>
      <w:tr w14:paraId="103B163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255C4CF">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4D8BCB84">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儿童期孤独症评定（CARS）</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2B92531">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0-15岁龄儿童儿童期孤独症评定（CARS）记录，并生成结果报告。</w:t>
            </w:r>
          </w:p>
        </w:tc>
      </w:tr>
      <w:tr w14:paraId="74C8A21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4D9226CE">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45855B70">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PPTV量表（直录结果）</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4FFF489F">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39-101月龄PPTV量表直录并生成结果报告</w:t>
            </w:r>
          </w:p>
        </w:tc>
      </w:tr>
      <w:tr w14:paraId="1B9EE00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7" w:hRule="atLeast"/>
          <w:jc w:val="center"/>
        </w:trPr>
        <w:tc>
          <w:tcPr>
            <w:tcW w:w="831" w:type="dxa"/>
            <w:vMerge w:val="restart"/>
            <w:tcBorders>
              <w:left w:val="single" w:color="auto" w:sz="4" w:space="0"/>
              <w:right w:val="single" w:color="auto" w:sz="4" w:space="0"/>
            </w:tcBorders>
            <w:shd w:val="clear" w:color="auto" w:fill="FFFFFF"/>
            <w:tcMar>
              <w:top w:w="0" w:type="dxa"/>
              <w:left w:w="105" w:type="dxa"/>
              <w:bottom w:w="0" w:type="dxa"/>
              <w:right w:w="105" w:type="dxa"/>
            </w:tcMar>
            <w:vAlign w:val="center"/>
          </w:tcPr>
          <w:p w14:paraId="6A2739A5">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bookmarkStart w:id="36" w:name="_GoBack" w:colFirst="0" w:colLast="0"/>
            <w:r>
              <w:rPr>
                <w:rFonts w:hint="eastAsia" w:asciiTheme="minorEastAsia" w:hAnsiTheme="minorEastAsia" w:eastAsiaTheme="minorEastAsia" w:cstheme="minorEastAsia"/>
                <w:b w:val="0"/>
                <w:bCs w:val="0"/>
                <w:i w:val="0"/>
                <w:color w:val="auto"/>
                <w:kern w:val="0"/>
                <w:sz w:val="20"/>
                <w:szCs w:val="20"/>
                <w:u w:val="none"/>
                <w:lang w:val="en-US" w:eastAsia="zh-CN" w:bidi="ar-SA"/>
              </w:rPr>
              <w:t>其他功能</w:t>
            </w:r>
          </w:p>
        </w:tc>
        <w:tc>
          <w:tcPr>
            <w:tcW w:w="1863" w:type="dxa"/>
            <w:tcBorders>
              <w:top w:val="nil"/>
              <w:left w:val="single" w:color="auto" w:sz="4" w:space="0"/>
              <w:bottom w:val="single" w:color="auto" w:sz="6" w:space="0"/>
              <w:right w:val="single" w:color="auto" w:sz="6" w:space="0"/>
            </w:tcBorders>
            <w:shd w:val="clear" w:color="auto" w:fill="FFFFFF"/>
            <w:vAlign w:val="center"/>
          </w:tcPr>
          <w:p w14:paraId="79649063">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注意力测试</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155DC5E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量表直录并生成结果报告</w:t>
            </w:r>
          </w:p>
        </w:tc>
      </w:tr>
      <w:bookmarkEnd w:id="36"/>
      <w:tr w14:paraId="5A1F8A6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25B7FC32">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064ED11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康奈尔儿童行为量表父母问卷</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063150E">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量表直录并生成结果报告</w:t>
            </w:r>
          </w:p>
        </w:tc>
      </w:tr>
      <w:tr w14:paraId="76664C2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318229A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68A04936">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康奈尔儿童行为量表教师问卷</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7282CB2F">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量表直录并生成结果报告</w:t>
            </w:r>
          </w:p>
        </w:tc>
      </w:tr>
      <w:tr w14:paraId="220F04D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0F4C0C95">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6C3B35C8">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儿童社交能力量表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24BE36BD">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量表直录并生成结果报告</w:t>
            </w:r>
          </w:p>
        </w:tc>
      </w:tr>
      <w:tr w14:paraId="40427EE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33"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3A392349">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7A81E30B">
            <w:pPr>
              <w:keepNext w:val="0"/>
              <w:keepLines w:val="0"/>
              <w:pageBreakBefore w:val="0"/>
              <w:kinsoku/>
              <w:wordWrap/>
              <w:overflowPunct/>
              <w:topLinePunct w:val="0"/>
              <w:autoSpaceDE/>
              <w:autoSpaceDN/>
              <w:bidi w:val="0"/>
              <w:adjustRightInd/>
              <w:snapToGrid/>
              <w:spacing w:line="300" w:lineRule="atLeast"/>
              <w:jc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连续性性能测试</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3AC79CF">
            <w:pPr>
              <w:keepNext w:val="0"/>
              <w:keepLines w:val="0"/>
              <w:pageBreakBefore w:val="0"/>
              <w:kinsoku/>
              <w:wordWrap/>
              <w:overflowPunct/>
              <w:topLinePunct w:val="0"/>
              <w:autoSpaceDE/>
              <w:autoSpaceDN/>
              <w:bidi w:val="0"/>
              <w:adjustRightInd/>
              <w:snapToGrid/>
              <w:spacing w:line="300" w:lineRule="atLeast"/>
              <w:jc w:val="left"/>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通过计算件软件进行测试并生成结果报告</w:t>
            </w:r>
          </w:p>
        </w:tc>
      </w:tr>
      <w:tr w14:paraId="19A924A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0F5BB01C">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14735200">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统计报表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65E0F31F">
            <w:pPr>
              <w:keepNext w:val="0"/>
              <w:keepLines w:val="0"/>
              <w:pageBreakBefore w:val="0"/>
              <w:widowControl/>
              <w:kinsoku/>
              <w:wordWrap/>
              <w:overflowPunct/>
              <w:topLinePunct w:val="0"/>
              <w:autoSpaceDE/>
              <w:autoSpaceDN/>
              <w:bidi w:val="0"/>
              <w:adjustRightInd/>
              <w:snapToGrid/>
              <w:spacing w:line="300" w:lineRule="atLeast"/>
              <w:jc w:val="left"/>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 xml:space="preserve"> 新生儿建档统计；疾病种类统计（按照儿童所患的疾病种类进行统计）；早产儿统计；结案率统计，统计各种专案，对于1年、2年的结案率进行统计；高危新生儿管理登记表，对低危早产、高危早产、足月高危及是否转康复科专案统计管理；早产儿专病统计</w:t>
            </w:r>
          </w:p>
        </w:tc>
      </w:tr>
      <w:tr w14:paraId="6573930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3" w:hRule="atLeast"/>
          <w:jc w:val="center"/>
        </w:trPr>
        <w:tc>
          <w:tcPr>
            <w:tcW w:w="831"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14:paraId="1519BFD5">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6" w:space="0"/>
              <w:right w:val="single" w:color="auto" w:sz="6" w:space="0"/>
            </w:tcBorders>
            <w:shd w:val="clear" w:color="auto" w:fill="FFFFFF"/>
            <w:vAlign w:val="center"/>
          </w:tcPr>
          <w:p w14:paraId="764A020F">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数据安全:</w:t>
            </w:r>
          </w:p>
        </w:tc>
        <w:tc>
          <w:tcPr>
            <w:tcW w:w="6009" w:type="dxa"/>
            <w:tcBorders>
              <w:top w:val="nil"/>
              <w:left w:val="single" w:color="auto" w:sz="4" w:space="0"/>
              <w:bottom w:val="single" w:color="auto" w:sz="6" w:space="0"/>
              <w:right w:val="single" w:color="auto" w:sz="6" w:space="0"/>
            </w:tcBorders>
            <w:shd w:val="clear" w:color="auto" w:fill="FFFFFF"/>
            <w:vAlign w:val="center"/>
          </w:tcPr>
          <w:p w14:paraId="3C20E668">
            <w:pPr>
              <w:keepNext w:val="0"/>
              <w:keepLines w:val="0"/>
              <w:pageBreakBefore w:val="0"/>
              <w:widowControl/>
              <w:kinsoku/>
              <w:wordWrap/>
              <w:overflowPunct/>
              <w:topLinePunct w:val="0"/>
              <w:autoSpaceDE/>
              <w:autoSpaceDN/>
              <w:bidi w:val="0"/>
              <w:adjustRightInd/>
              <w:snapToGrid/>
              <w:spacing w:line="300" w:lineRule="atLeast"/>
              <w:jc w:val="left"/>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要求对儿童保健数据进行加密处理，保障儿童保健数据的安全。</w:t>
            </w:r>
          </w:p>
        </w:tc>
      </w:tr>
      <w:tr w14:paraId="5F1C932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831"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C0C6817">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p>
        </w:tc>
        <w:tc>
          <w:tcPr>
            <w:tcW w:w="1863" w:type="dxa"/>
            <w:tcBorders>
              <w:top w:val="nil"/>
              <w:left w:val="single" w:color="auto" w:sz="4" w:space="0"/>
              <w:bottom w:val="single" w:color="auto" w:sz="4" w:space="0"/>
              <w:right w:val="single" w:color="auto" w:sz="6" w:space="0"/>
            </w:tcBorders>
            <w:shd w:val="clear" w:color="auto" w:fill="FFFFFF"/>
            <w:vAlign w:val="center"/>
          </w:tcPr>
          <w:p w14:paraId="020E7E40">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数据集成</w:t>
            </w:r>
          </w:p>
        </w:tc>
        <w:tc>
          <w:tcPr>
            <w:tcW w:w="6009" w:type="dxa"/>
            <w:tcBorders>
              <w:top w:val="nil"/>
              <w:left w:val="single" w:color="auto" w:sz="4" w:space="0"/>
              <w:bottom w:val="single" w:color="auto" w:sz="4" w:space="0"/>
              <w:right w:val="single" w:color="auto" w:sz="6" w:space="0"/>
            </w:tcBorders>
            <w:shd w:val="clear" w:color="auto" w:fill="FFFFFF"/>
            <w:vAlign w:val="center"/>
          </w:tcPr>
          <w:p w14:paraId="13F4D988">
            <w:pPr>
              <w:keepNext w:val="0"/>
              <w:keepLines w:val="0"/>
              <w:pageBreakBefore w:val="0"/>
              <w:widowControl/>
              <w:kinsoku/>
              <w:wordWrap/>
              <w:overflowPunct/>
              <w:topLinePunct w:val="0"/>
              <w:autoSpaceDE/>
              <w:autoSpaceDN/>
              <w:bidi w:val="0"/>
              <w:adjustRightInd/>
              <w:snapToGrid/>
              <w:spacing w:line="300" w:lineRule="atLeast"/>
              <w:jc w:val="left"/>
              <w:textAlignment w:val="center"/>
              <w:rPr>
                <w:rFonts w:hint="eastAsia" w:asciiTheme="minorEastAsia" w:hAnsiTheme="minorEastAsia" w:eastAsiaTheme="minorEastAsia" w:cstheme="minorEastAsia"/>
                <w:b w:val="0"/>
                <w:bCs w:val="0"/>
                <w:i w:val="0"/>
                <w:color w:val="auto"/>
                <w:kern w:val="0"/>
                <w:sz w:val="20"/>
                <w:szCs w:val="20"/>
                <w:u w:val="none"/>
                <w:lang w:val="en-US" w:eastAsia="zh-CN" w:bidi="ar-SA"/>
              </w:rPr>
            </w:pPr>
            <w:r>
              <w:rPr>
                <w:rFonts w:hint="eastAsia" w:asciiTheme="minorEastAsia" w:hAnsiTheme="minorEastAsia" w:eastAsiaTheme="minorEastAsia" w:cstheme="minorEastAsia"/>
                <w:b w:val="0"/>
                <w:bCs w:val="0"/>
                <w:i w:val="0"/>
                <w:color w:val="auto"/>
                <w:kern w:val="0"/>
                <w:sz w:val="20"/>
                <w:szCs w:val="20"/>
                <w:u w:val="none"/>
                <w:lang w:val="en-US" w:eastAsia="zh-CN" w:bidi="ar-SA"/>
              </w:rPr>
              <w:t>系统可与HIS系统，LIS系统，PACS系统（或者院内集成平台）进行数据界面对接。</w:t>
            </w:r>
          </w:p>
        </w:tc>
      </w:tr>
    </w:tbl>
    <w:p w14:paraId="40C60A4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系统</w:t>
      </w:r>
      <w:r>
        <w:rPr>
          <w:rFonts w:hint="eastAsia" w:ascii="宋体" w:hAnsi="宋体" w:eastAsia="宋体" w:cs="宋体"/>
          <w:color w:val="auto"/>
          <w:sz w:val="24"/>
          <w:szCs w:val="24"/>
          <w:lang w:val="en-US" w:eastAsia="zh-CN"/>
        </w:rPr>
        <w:t>免费维护期限：3年（自项目验收合格签字之日起计算）。</w:t>
      </w:r>
    </w:p>
    <w:p w14:paraId="6D1D24E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系统</w:t>
      </w:r>
      <w:r>
        <w:rPr>
          <w:rFonts w:hint="eastAsia" w:ascii="宋体" w:hAnsi="宋体" w:eastAsia="宋体" w:cs="宋体"/>
          <w:color w:val="auto"/>
          <w:sz w:val="24"/>
          <w:szCs w:val="24"/>
          <w:lang w:val="en-US" w:eastAsia="zh-CN"/>
        </w:rPr>
        <w:t>免费维护期限内，</w:t>
      </w:r>
      <w:r>
        <w:rPr>
          <w:rFonts w:hint="eastAsia" w:cs="宋体"/>
          <w:color w:val="auto"/>
          <w:sz w:val="24"/>
          <w:szCs w:val="24"/>
          <w:lang w:val="en-US" w:eastAsia="zh-CN"/>
        </w:rPr>
        <w:t>根据采购人业务需求，进行功能性延展和增加，并且不违反医疗规范以及相关规定</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778C36A7">
      <w:pPr>
        <w:pStyle w:val="5"/>
        <w:rPr>
          <w:rFonts w:hint="eastAsia"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项目验收</w:t>
      </w:r>
      <w:r>
        <w:rPr>
          <w:rFonts w:hint="eastAsia" w:cs="宋体"/>
          <w:color w:val="auto"/>
          <w:sz w:val="24"/>
          <w:szCs w:val="24"/>
          <w:highlight w:val="none"/>
          <w:lang w:val="en-US" w:eastAsia="zh-CN"/>
        </w:rPr>
        <w:t>合格</w:t>
      </w:r>
      <w:r>
        <w:rPr>
          <w:rFonts w:hint="eastAsia" w:ascii="宋体" w:hAnsi="宋体" w:eastAsia="宋体" w:cs="宋体"/>
          <w:color w:val="auto"/>
          <w:sz w:val="24"/>
          <w:szCs w:val="24"/>
          <w:highlight w:val="none"/>
          <w:lang w:val="en-US" w:eastAsia="zh-CN"/>
        </w:rPr>
        <w:t>并正常维护运行</w:t>
      </w:r>
      <w:r>
        <w:rPr>
          <w:rFonts w:hint="eastAsia" w:ascii="Times New Roman" w:hAnsi="Times New Roman" w:eastAsia="宋体" w:cs="Times New Roman"/>
          <w:b w:val="0"/>
          <w:bCs w:val="0"/>
          <w:sz w:val="24"/>
          <w:szCs w:val="24"/>
          <w:lang w:val="en-US" w:eastAsia="zh-CN"/>
        </w:rPr>
        <w:t>后</w:t>
      </w:r>
      <w:r>
        <w:rPr>
          <w:rFonts w:hint="eastAsia" w:ascii="Times New Roman" w:hAnsi="Times New Roman" w:cs="Times New Roman"/>
          <w:b w:val="0"/>
          <w:bCs w:val="0"/>
          <w:sz w:val="24"/>
          <w:szCs w:val="24"/>
          <w:lang w:val="en-US" w:eastAsia="zh-CN"/>
        </w:rPr>
        <w:t>30日内</w:t>
      </w:r>
      <w:r>
        <w:rPr>
          <w:rFonts w:hint="default" w:ascii="Times New Roman" w:hAnsi="Times New Roman" w:eastAsia="宋体" w:cs="Times New Roman"/>
          <w:b w:val="0"/>
          <w:bCs w:val="0"/>
          <w:sz w:val="24"/>
          <w:szCs w:val="24"/>
          <w:lang w:val="en-US" w:eastAsia="zh-CN"/>
        </w:rPr>
        <w:t>，支付合同总金额的</w:t>
      </w:r>
      <w:r>
        <w:rPr>
          <w:rFonts w:hint="eastAsia" w:ascii="Times New Roman" w:hAnsi="Times New Roman" w:cs="Times New Roman"/>
          <w:b w:val="0"/>
          <w:bCs w:val="0"/>
          <w:sz w:val="24"/>
          <w:szCs w:val="24"/>
          <w:lang w:val="en-US" w:eastAsia="zh-CN"/>
        </w:rPr>
        <w:t>8</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%；项目</w:t>
      </w:r>
      <w:r>
        <w:rPr>
          <w:rFonts w:hint="eastAsia" w:ascii="宋体" w:hAnsi="宋体" w:eastAsia="宋体" w:cs="宋体"/>
          <w:color w:val="auto"/>
          <w:sz w:val="24"/>
          <w:szCs w:val="24"/>
          <w:highlight w:val="none"/>
          <w:lang w:val="en-US" w:eastAsia="zh-CN"/>
        </w:rPr>
        <w:t>正常维护运行</w:t>
      </w:r>
      <w:r>
        <w:rPr>
          <w:rFonts w:hint="eastAsia" w:ascii="Times New Roman" w:hAnsi="Times New Roman" w:eastAsia="宋体" w:cs="Times New Roman"/>
          <w:b w:val="0"/>
          <w:bCs w:val="0"/>
          <w:sz w:val="24"/>
          <w:szCs w:val="24"/>
          <w:lang w:val="en-US" w:eastAsia="zh-CN"/>
        </w:rPr>
        <w:t>满2</w:t>
      </w:r>
      <w:r>
        <w:rPr>
          <w:rFonts w:hint="default" w:ascii="Times New Roman" w:hAnsi="Times New Roman" w:eastAsia="宋体" w:cs="Times New Roman"/>
          <w:b w:val="0"/>
          <w:bCs w:val="0"/>
          <w:sz w:val="24"/>
          <w:szCs w:val="24"/>
          <w:lang w:val="en-US" w:eastAsia="zh-CN"/>
        </w:rPr>
        <w:t>年后，支付合同总金额的</w:t>
      </w:r>
      <w:r>
        <w:rPr>
          <w:rFonts w:hint="eastAsia" w:ascii="Times New Roman" w:hAnsi="Times New Roman"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0%</w:t>
      </w:r>
      <w:r>
        <w:rPr>
          <w:rFonts w:hint="eastAsia" w:ascii="Times New Roman" w:hAnsi="Times New Roman" w:eastAsia="宋体" w:cs="Times New Roman"/>
          <w:b w:val="0"/>
          <w:bCs w:val="0"/>
          <w:sz w:val="24"/>
          <w:szCs w:val="24"/>
          <w:lang w:val="en-US" w:eastAsia="zh-CN"/>
        </w:rPr>
        <w:t>；项目</w:t>
      </w:r>
      <w:r>
        <w:rPr>
          <w:rFonts w:hint="eastAsia" w:ascii="宋体" w:hAnsi="宋体" w:eastAsia="宋体" w:cs="宋体"/>
          <w:color w:val="auto"/>
          <w:sz w:val="24"/>
          <w:szCs w:val="24"/>
          <w:highlight w:val="none"/>
          <w:lang w:val="en-US" w:eastAsia="zh-CN"/>
        </w:rPr>
        <w:t>正常维护运行</w:t>
      </w:r>
      <w:r>
        <w:rPr>
          <w:rFonts w:hint="eastAsia" w:ascii="Times New Roman" w:hAnsi="Times New Roman" w:eastAsia="宋体" w:cs="Times New Roman"/>
          <w:b w:val="0"/>
          <w:bCs w:val="0"/>
          <w:sz w:val="24"/>
          <w:szCs w:val="24"/>
          <w:lang w:val="en-US" w:eastAsia="zh-CN"/>
        </w:rPr>
        <w:t>满3年后，</w:t>
      </w:r>
      <w:r>
        <w:rPr>
          <w:rFonts w:hint="default" w:ascii="Times New Roman" w:hAnsi="Times New Roman" w:eastAsia="宋体" w:cs="Times New Roman"/>
          <w:b w:val="0"/>
          <w:bCs w:val="0"/>
          <w:sz w:val="24"/>
          <w:szCs w:val="24"/>
          <w:lang w:val="en-US" w:eastAsia="zh-CN"/>
        </w:rPr>
        <w:t>支付合同总金额的</w:t>
      </w:r>
      <w:r>
        <w:rPr>
          <w:rFonts w:hint="eastAsia" w:ascii="Times New Roman" w:hAnsi="Times New Roman"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0%。</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w:t>
      </w:r>
      <w:r>
        <w:rPr>
          <w:rFonts w:hint="eastAsia" w:ascii="宋体" w:hAnsi="宋体"/>
          <w:sz w:val="24"/>
          <w:szCs w:val="24"/>
          <w:lang w:eastAsia="zh-CN"/>
        </w:rPr>
        <w:t>接口、</w:t>
      </w:r>
      <w:r>
        <w:rPr>
          <w:rFonts w:hint="eastAsia" w:ascii="宋体" w:hAnsi="宋体"/>
          <w:sz w:val="24"/>
          <w:szCs w:val="24"/>
        </w:rPr>
        <w:t>操作培训、人工、差旅等一切费用。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30" w:name="_Toc27680"/>
      <w:bookmarkStart w:id="31"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546FBA0A">
      <w:pPr>
        <w:pStyle w:val="6"/>
        <w:rPr>
          <w:rFonts w:hint="eastAsia" w:ascii="黑体" w:hAnsi="宋体" w:eastAsia="黑体"/>
          <w:b/>
          <w:bCs/>
          <w:sz w:val="32"/>
          <w:szCs w:val="32"/>
        </w:rPr>
      </w:pPr>
    </w:p>
    <w:p w14:paraId="29C35A07">
      <w:pPr>
        <w:pStyle w:val="6"/>
        <w:rPr>
          <w:rFonts w:hint="eastAsia" w:ascii="黑体" w:hAnsi="宋体" w:eastAsia="黑体"/>
          <w:b/>
          <w:bCs/>
          <w:sz w:val="32"/>
          <w:szCs w:val="32"/>
        </w:rPr>
      </w:pPr>
    </w:p>
    <w:p w14:paraId="02EC74F1">
      <w:pPr>
        <w:rPr>
          <w:rFonts w:hint="eastAsia" w:ascii="黑体" w:hAnsi="宋体" w:eastAsia="黑体"/>
          <w:b/>
          <w:bCs/>
          <w:sz w:val="32"/>
          <w:szCs w:val="32"/>
        </w:rPr>
      </w:pPr>
    </w:p>
    <w:p w14:paraId="3AFC3F07">
      <w:pPr>
        <w:rPr>
          <w:rFonts w:hint="eastAsia" w:ascii="黑体" w:hAnsi="宋体" w:eastAsia="黑体"/>
          <w:b/>
          <w:bCs/>
          <w:sz w:val="32"/>
          <w:szCs w:val="32"/>
        </w:rPr>
      </w:pPr>
    </w:p>
    <w:p w14:paraId="3B4D07F9">
      <w:pPr>
        <w:rPr>
          <w:rFonts w:hint="eastAsia" w:ascii="黑体" w:hAnsi="宋体" w:eastAsia="黑体"/>
          <w:b/>
          <w:bCs/>
          <w:sz w:val="32"/>
          <w:szCs w:val="32"/>
        </w:rPr>
      </w:pPr>
    </w:p>
    <w:p w14:paraId="50446311">
      <w:pPr>
        <w:rPr>
          <w:rFonts w:hint="eastAsia" w:ascii="黑体" w:hAnsi="宋体" w:eastAsia="黑体"/>
          <w:b/>
          <w:bCs/>
          <w:sz w:val="32"/>
          <w:szCs w:val="32"/>
        </w:rPr>
      </w:pPr>
    </w:p>
    <w:p w14:paraId="2C03697A">
      <w:pPr>
        <w:rPr>
          <w:rFonts w:hint="eastAsia" w:ascii="黑体" w:hAnsi="宋体" w:eastAsia="黑体"/>
          <w:b/>
          <w:bCs/>
          <w:sz w:val="32"/>
          <w:szCs w:val="32"/>
        </w:rPr>
      </w:pPr>
    </w:p>
    <w:p w14:paraId="7C884163">
      <w:pPr>
        <w:rPr>
          <w:rFonts w:hint="eastAsia" w:ascii="黑体" w:hAnsi="宋体" w:eastAsia="黑体"/>
          <w:b/>
          <w:bCs/>
          <w:sz w:val="32"/>
          <w:szCs w:val="32"/>
        </w:rPr>
      </w:pPr>
    </w:p>
    <w:p w14:paraId="12043ED2">
      <w:pPr>
        <w:rPr>
          <w:rFonts w:hint="eastAsia" w:ascii="黑体" w:hAnsi="宋体" w:eastAsia="黑体"/>
          <w:b/>
          <w:bCs/>
          <w:sz w:val="32"/>
          <w:szCs w:val="32"/>
        </w:rPr>
      </w:pPr>
    </w:p>
    <w:p w14:paraId="20E3121B">
      <w:pPr>
        <w:rPr>
          <w:rFonts w:hint="eastAsia" w:ascii="黑体" w:hAnsi="宋体" w:eastAsia="黑体"/>
          <w:b/>
          <w:bCs/>
          <w:sz w:val="32"/>
          <w:szCs w:val="32"/>
        </w:rPr>
      </w:pPr>
    </w:p>
    <w:p w14:paraId="31520CE5">
      <w:pPr>
        <w:rPr>
          <w:rFonts w:hint="eastAsia" w:ascii="黑体" w:hAnsi="宋体" w:eastAsia="黑体"/>
          <w:b/>
          <w:bCs/>
          <w:sz w:val="32"/>
          <w:szCs w:val="32"/>
        </w:rPr>
      </w:pPr>
    </w:p>
    <w:p w14:paraId="2E6C77BE">
      <w:pPr>
        <w:rPr>
          <w:rFonts w:hint="eastAsia" w:ascii="黑体" w:hAnsi="宋体" w:eastAsia="黑体"/>
          <w:b/>
          <w:bCs/>
          <w:sz w:val="32"/>
          <w:szCs w:val="32"/>
        </w:rPr>
      </w:pPr>
    </w:p>
    <w:p w14:paraId="39FDE917">
      <w:pPr>
        <w:rPr>
          <w:rFonts w:hint="eastAsia" w:ascii="黑体" w:hAnsi="宋体" w:eastAsia="黑体"/>
          <w:b/>
          <w:bCs/>
          <w:sz w:val="32"/>
          <w:szCs w:val="32"/>
        </w:rPr>
      </w:pPr>
    </w:p>
    <w:p w14:paraId="7C4FDF3A">
      <w:pPr>
        <w:rPr>
          <w:rFonts w:hint="eastAsia" w:ascii="黑体" w:hAnsi="宋体" w:eastAsia="黑体"/>
          <w:b/>
          <w:bCs/>
          <w:sz w:val="32"/>
          <w:szCs w:val="32"/>
        </w:rPr>
      </w:pPr>
    </w:p>
    <w:p w14:paraId="37876501">
      <w:pPr>
        <w:rPr>
          <w:rFonts w:hint="eastAsia" w:ascii="黑体" w:hAnsi="宋体" w:eastAsia="黑体"/>
          <w:b/>
          <w:bCs/>
          <w:sz w:val="32"/>
          <w:szCs w:val="32"/>
        </w:rPr>
      </w:pPr>
    </w:p>
    <w:p w14:paraId="77B43DA5">
      <w:pPr>
        <w:rPr>
          <w:rFonts w:hint="eastAsia" w:ascii="黑体" w:hAnsi="宋体" w:eastAsia="黑体"/>
          <w:b/>
          <w:bCs/>
          <w:sz w:val="32"/>
          <w:szCs w:val="32"/>
        </w:rPr>
      </w:pPr>
    </w:p>
    <w:p w14:paraId="5ACDE5FF">
      <w:pPr>
        <w:rPr>
          <w:rFonts w:hint="eastAsia" w:ascii="黑体" w:hAnsi="宋体" w:eastAsia="黑体"/>
          <w:b/>
          <w:bCs/>
          <w:sz w:val="32"/>
          <w:szCs w:val="32"/>
        </w:rPr>
      </w:pPr>
    </w:p>
    <w:p w14:paraId="5B71D825">
      <w:pPr>
        <w:rPr>
          <w:rFonts w:hint="eastAsia" w:ascii="黑体" w:hAnsi="宋体" w:eastAsia="黑体"/>
          <w:b/>
          <w:bCs/>
          <w:sz w:val="32"/>
          <w:szCs w:val="32"/>
        </w:rPr>
      </w:pPr>
    </w:p>
    <w:p w14:paraId="52CB979F">
      <w:pPr>
        <w:rPr>
          <w:rFonts w:hint="eastAsia" w:ascii="黑体" w:hAnsi="宋体" w:eastAsia="黑体"/>
          <w:b/>
          <w:bCs/>
          <w:sz w:val="32"/>
          <w:szCs w:val="32"/>
        </w:rPr>
      </w:pPr>
    </w:p>
    <w:p w14:paraId="03FC2D25">
      <w:pPr>
        <w:rPr>
          <w:rFonts w:hint="eastAsia" w:ascii="黑体" w:hAnsi="宋体" w:eastAsia="黑体"/>
          <w:b/>
          <w:bCs/>
          <w:sz w:val="32"/>
          <w:szCs w:val="32"/>
        </w:rPr>
      </w:pPr>
    </w:p>
    <w:p w14:paraId="21E850E0">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30"/>
      <w:bookmarkEnd w:id="31"/>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1474633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060FC4DA">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503676B">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04D6B5A7">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14"/>
        <w:rPr>
          <w:rFonts w:hint="eastAsia"/>
          <w:sz w:val="24"/>
        </w:rPr>
      </w:pPr>
    </w:p>
    <w:p w14:paraId="6F5E4E1A">
      <w:pPr>
        <w:jc w:val="center"/>
        <w:rPr>
          <w:b/>
          <w:sz w:val="32"/>
          <w:szCs w:val="32"/>
        </w:rPr>
      </w:pPr>
      <w:bookmarkStart w:id="32" w:name="_Toc17324"/>
      <w:bookmarkStart w:id="33"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2"/>
    <w:bookmarkEnd w:id="33"/>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4" w:name="_Toc350864527"/>
      <w:bookmarkStart w:id="35" w:name="_Toc349810624"/>
    </w:p>
    <w:bookmarkEnd w:id="34"/>
    <w:bookmarkEnd w:id="35"/>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0FF131C4"/>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8F4A04"/>
    <w:rsid w:val="23902475"/>
    <w:rsid w:val="239E61C1"/>
    <w:rsid w:val="259801CB"/>
    <w:rsid w:val="268F0FD1"/>
    <w:rsid w:val="27644041"/>
    <w:rsid w:val="28FC7A35"/>
    <w:rsid w:val="292A6576"/>
    <w:rsid w:val="2A1047F1"/>
    <w:rsid w:val="2AE95BE6"/>
    <w:rsid w:val="2B4F4C91"/>
    <w:rsid w:val="2BEA5D17"/>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A54A9"/>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8D70C2F"/>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B355026"/>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21263</Words>
  <Characters>22303</Characters>
  <Lines>0</Lines>
  <Paragraphs>0</Paragraphs>
  <TotalTime>0</TotalTime>
  <ScaleCrop>false</ScaleCrop>
  <LinksUpToDate>false</LinksUpToDate>
  <CharactersWithSpaces>23395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2025-01-10T06:31:43Z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