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医学数字图书馆（三次）</w:t>
      </w:r>
    </w:p>
    <w:p w14:paraId="03AD8405">
      <w:pPr>
        <w:pStyle w:val="29"/>
        <w:jc w:val="center"/>
        <w:outlineLvl w:val="2"/>
      </w:pPr>
      <w:r>
        <w:rPr>
          <w:b/>
          <w:sz w:val="28"/>
        </w:rPr>
        <w:t>采购项目编号：</w:t>
      </w:r>
      <w:r>
        <w:rPr>
          <w:rFonts w:hint="eastAsia" w:ascii="宋体"/>
          <w:b/>
          <w:sz w:val="30"/>
          <w:szCs w:val="30"/>
          <w:lang w:eastAsia="zh-CN"/>
        </w:rPr>
        <w:t>LYC-2024-10</w:t>
      </w:r>
      <w:r>
        <w:rPr>
          <w:rFonts w:hint="eastAsia" w:ascii="宋体"/>
          <w:b/>
          <w:sz w:val="30"/>
          <w:szCs w:val="30"/>
          <w:lang w:val="en-US" w:eastAsia="zh-CN"/>
        </w:rPr>
        <w:t>9</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1</w:t>
      </w:r>
      <w:r>
        <w:rPr>
          <w:b/>
          <w:sz w:val="28"/>
        </w:rPr>
        <w:t>月</w:t>
      </w:r>
      <w:r>
        <w:rPr>
          <w:rFonts w:hint="eastAsia"/>
          <w:b/>
          <w:sz w:val="28"/>
          <w:lang w:val="en-US" w:eastAsia="zh-CN"/>
        </w:rPr>
        <w:t>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LYC-2024-109</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医学数字图书馆（三次）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28.5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7日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2850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7067"/>
      <w:bookmarkStart w:id="7" w:name="_Toc31240"/>
      <w:bookmarkStart w:id="8" w:name="_Toc13038"/>
      <w:bookmarkStart w:id="9" w:name="_Toc15215"/>
      <w:bookmarkStart w:id="10" w:name="_Toc2429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174151"/>
      <w:bookmarkStart w:id="13" w:name="_Toc101338364"/>
      <w:bookmarkStart w:id="14" w:name="_Toc209847069"/>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4A7EF24C">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25B11B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217446056"/>
      <w:bookmarkStart w:id="19" w:name="_Toc183682368"/>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医学数字图书馆</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409"/>
        <w:gridCol w:w="1608"/>
        <w:gridCol w:w="1716"/>
        <w:gridCol w:w="142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0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0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608"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71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2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0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409" w:type="dxa"/>
            <w:vAlign w:val="center"/>
          </w:tcPr>
          <w:p w14:paraId="00CF634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医学数字图书馆</w:t>
            </w:r>
          </w:p>
        </w:tc>
        <w:tc>
          <w:tcPr>
            <w:tcW w:w="1608" w:type="dxa"/>
            <w:vAlign w:val="center"/>
          </w:tcPr>
          <w:p w14:paraId="60E521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套</w:t>
            </w:r>
          </w:p>
        </w:tc>
        <w:tc>
          <w:tcPr>
            <w:tcW w:w="1716" w:type="dxa"/>
            <w:tcBorders>
              <w:top w:val="single" w:color="auto" w:sz="4" w:space="0"/>
            </w:tcBorders>
            <w:vAlign w:val="center"/>
          </w:tcPr>
          <w:p w14:paraId="28B5E9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1428" w:type="dxa"/>
            <w:tcBorders>
              <w:top w:val="single" w:color="auto" w:sz="4" w:space="0"/>
            </w:tcBorders>
            <w:vAlign w:val="center"/>
          </w:tcPr>
          <w:p w14:paraId="4CD04B4B">
            <w:pPr>
              <w:pStyle w:val="29"/>
              <w:jc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6" w:type="dxa"/>
        <w:jc w:val="center"/>
        <w:tblLayout w:type="fixed"/>
        <w:tblCellMar>
          <w:top w:w="0" w:type="dxa"/>
          <w:left w:w="0" w:type="dxa"/>
          <w:bottom w:w="0" w:type="dxa"/>
          <w:right w:w="0" w:type="dxa"/>
        </w:tblCellMar>
      </w:tblPr>
      <w:tblGrid>
        <w:gridCol w:w="664"/>
        <w:gridCol w:w="1368"/>
        <w:gridCol w:w="7044"/>
      </w:tblGrid>
      <w:tr w14:paraId="55C69EB0">
        <w:tblPrEx>
          <w:tblCellMar>
            <w:top w:w="0" w:type="dxa"/>
            <w:left w:w="0" w:type="dxa"/>
            <w:bottom w:w="0" w:type="dxa"/>
            <w:right w:w="0" w:type="dxa"/>
          </w:tblCellMar>
        </w:tblPrEx>
        <w:trPr>
          <w:trHeight w:val="27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3033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D4E36">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42DC504F">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6A0AC55E">
        <w:tblPrEx>
          <w:tblCellMar>
            <w:top w:w="0" w:type="dxa"/>
            <w:left w:w="0" w:type="dxa"/>
            <w:bottom w:w="0" w:type="dxa"/>
            <w:right w:w="0" w:type="dxa"/>
          </w:tblCellMar>
        </w:tblPrEx>
        <w:trPr>
          <w:trHeight w:val="3754"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9DFE0">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E65EF">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医学图书馆门户网站 </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147A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1.提供数字图书馆门户平台，并整合各类资源，满足医院核心医学文献需求，能满足医院各职能科室关于学术文献需求，也能一定程度上满足全院职工的业余文化需求。</w:t>
            </w:r>
          </w:p>
          <w:p w14:paraId="4FE1032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2.医学文献资源，包括中外文医学期刊论文、医学博硕学位论文、医学会议论文、中文医学图书、医学视频为主，保障临床科研使用；</w:t>
            </w:r>
          </w:p>
          <w:p w14:paraId="58AF190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3.平台应具备国家相关行业运营资质，内容权威、版权正规、知识产权解决规范，保证服务的长期稳定，提供承诺函及客观证明材料。</w:t>
            </w:r>
          </w:p>
          <w:p w14:paraId="60BACFA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4.平台使用方便，满足互联网、移动互联网的多种应用需求；</w:t>
            </w:r>
          </w:p>
          <w:p w14:paraId="14881E52">
            <w:pPr>
              <w:widowControl/>
              <w:jc w:val="left"/>
              <w:textAlignment w:val="center"/>
              <w:rPr>
                <w:rFonts w:ascii="宋体" w:hAnsi="宋体" w:cs="宋体"/>
                <w:color w:val="000000"/>
                <w:sz w:val="24"/>
              </w:rPr>
            </w:pPr>
            <w:r>
              <w:rPr>
                <w:rFonts w:hint="eastAsia" w:ascii="宋体" w:hAnsi="宋体" w:cs="宋体"/>
                <w:color w:val="000000"/>
                <w:kern w:val="0"/>
                <w:sz w:val="24"/>
                <w:lang w:bidi="ar"/>
              </w:rPr>
              <w:t>5.系统能够为全院职工开通个人账号，并支持系统批量导入功能，能够针对子帐号统计使用量以及满足采购人关于使用统计的相关需求。</w:t>
            </w:r>
          </w:p>
        </w:tc>
      </w:tr>
      <w:tr w14:paraId="5A5EE46B">
        <w:tblPrEx>
          <w:tblCellMar>
            <w:top w:w="0" w:type="dxa"/>
            <w:left w:w="0" w:type="dxa"/>
            <w:bottom w:w="0" w:type="dxa"/>
            <w:right w:w="0" w:type="dxa"/>
          </w:tblCellMar>
        </w:tblPrEx>
        <w:trPr>
          <w:trHeight w:val="1662"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E56F7">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B48A4">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eastAsia" w:ascii="宋体" w:hAnsi="宋体" w:cs="宋体"/>
                <w:color w:val="000000"/>
                <w:kern w:val="0"/>
                <w:sz w:val="24"/>
                <w:lang w:val="en-US" w:eastAsia="zh-CN" w:bidi="ar"/>
              </w:rPr>
              <w:t>资源内容要求</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A02FC">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1.医学文献资源，包括中外文医学期刊论文、医学博碩学位论文、医学会议论文、中文医学图书、医学视频为主，保障临床科研使用。</w:t>
            </w:r>
          </w:p>
          <w:p w14:paraId="52E648D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2.论文格式：论文全文应为pdf格式，系统或者提供自带阅读器，或者提供标准pdf阅读软件均可，持打开PDF文档，且实现文字复制粘贴功能。</w:t>
            </w:r>
          </w:p>
          <w:p w14:paraId="2D31D575">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3.论文获取方式：能够在线阅读并提供实时下载全文功能，提供系统下面界面截图。</w:t>
            </w:r>
          </w:p>
          <w:p w14:paraId="212767F7">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中文医学期刊：应在国家新闻出版总署上可查询的正规学术期刊；其中网络版要求能够整合国内主要中文医学期刊(国内新闻出版总署备案的正规期刊),数量不少于1500余种，能够实现全文实时定位；镜像版应包括中文医学期刊以及其他相关行业期刊不少于2300余种；必须包括中华医学期刊全文数据库(中华刊)系列期刊全文,提供对应证明文件。</w:t>
            </w:r>
          </w:p>
          <w:p w14:paraId="6FDA966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5.外文医学期刊：收录文摘数据总量不少于4500万条（pubmed数据不少于3400万条，NSTL数据不少于1100万条），涉及27000余种外文生物医学期刊。</w:t>
            </w:r>
          </w:p>
          <w:p w14:paraId="7310A2DD">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6.医学博硕论文：要求能够覆盖国内大多数医药卫生类学位论文授予单位，总体收录数量不得低于200家；文献总量不少于86万册，年更新量不少于4万册。</w:t>
            </w:r>
          </w:p>
          <w:p w14:paraId="697A7B43">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医学会议论文：要求以收录国家一级学术会议论文集为主，应包括但不限于“中华医学会"、"中国医师协会"、“中华预防医学会"、"中华护理学会"、"中国药学会”、“中国中西医结合学会"、"中华中医药学会"、“中国中医药学会”等学会论文集57万篇，年增不低于1.5万篇。</w:t>
            </w:r>
          </w:p>
          <w:p w14:paraId="65CF28A2">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8.医学视频：以医学视频为主要内容的知识服务系统，并与中国科技信息研究所、中华医学会、中医药管理局等合作，正版收录各类医学视频资源,视频资源不少于1380部，总时长不少于50000分钟。</w:t>
            </w:r>
          </w:p>
          <w:p w14:paraId="370F10BB">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9.医学电子图书：提供医学电子图书10万册可选，并根据三级医院等级评审要求由我院实际挑选图书本地部署安装，实际部署不低于30000册。</w:t>
            </w:r>
          </w:p>
        </w:tc>
      </w:tr>
      <w:tr w14:paraId="55079421">
        <w:tblPrEx>
          <w:tblCellMar>
            <w:top w:w="0" w:type="dxa"/>
            <w:left w:w="0" w:type="dxa"/>
            <w:bottom w:w="0" w:type="dxa"/>
            <w:right w:w="0" w:type="dxa"/>
          </w:tblCellMar>
        </w:tblPrEx>
        <w:trPr>
          <w:trHeight w:val="540" w:hRule="atLeast"/>
          <w:jc w:val="center"/>
        </w:trPr>
        <w:tc>
          <w:tcPr>
            <w:tcW w:w="6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093E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3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3C898">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中西医临床诊疗知识库</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6F897">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临床诊疗知识库：内容上需要涵盖疾病知识和指南循证文献两大部分内容：第一、疾病知识包括主要常见临床疾病(不少于3500种，并且与ICD进行关联)、临床检查、临床检验、临床用药、临床操作、临床胳径(知识图谱)等；第二、指南文献包括国内高质量的指南规范、循证文献、病例文献等，其中国内绝大部分 (约95%以上)指南循证文献等均来源自中华医学会系列期刊。</w:t>
            </w:r>
          </w:p>
          <w:p w14:paraId="5BB972E1">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2.中医药知识库：包括疾病名称、方剂名称、中药名称等可以与数字图书馆中相关期刊论文、学术论文、会议论文等文献链接，方便用户直接追踪文献。</w:t>
            </w:r>
          </w:p>
          <w:p w14:paraId="1472CEFB">
            <w:pPr>
              <w:widowControl/>
              <w:textAlignment w:val="center"/>
              <w:rPr>
                <w:rFonts w:ascii="宋体" w:hAnsi="宋体" w:cs="宋体"/>
                <w:color w:val="000000"/>
                <w:sz w:val="24"/>
              </w:rPr>
            </w:pPr>
            <w:r>
              <w:rPr>
                <w:rFonts w:hint="eastAsia" w:ascii="宋体" w:hAnsi="宋体" w:cs="宋体"/>
                <w:color w:val="000000"/>
                <w:kern w:val="0"/>
                <w:sz w:val="24"/>
                <w:lang w:bidi="ar"/>
              </w:rPr>
              <w:t>3.*系统须满足与我院HIS与电子病历系统对接要求，如有涉及到的各类可能产生的包括但不限于接口费等各类费用均用由供应商承担，须提供承诺函原件。</w:t>
            </w:r>
          </w:p>
        </w:tc>
      </w:tr>
    </w:tbl>
    <w:p w14:paraId="602B81F3">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17A4F906">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1.系统免费维护期限：</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年（自项目验收合格签字之日起计算）。</w:t>
      </w:r>
    </w:p>
    <w:p w14:paraId="05DF555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2.系统服务期满后由系统供应商维护，供应商需对系统更新服务费进行报价，报价不得高于中标金额20%。</w:t>
      </w:r>
    </w:p>
    <w:p w14:paraId="569AC1BA">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3.质保期内，对采购人提出的合理要求，供应商必须即时进行电话、邮件及远程网络支持，并在24小时内到场服务。如不到场，采购人有权自行处理，相关费用由供应商负责。</w:t>
      </w:r>
    </w:p>
    <w:p w14:paraId="15FF806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内，本合同项目所有技术和服务发生任何非人为故障，由供应商负责系统恢复。故障报修的响应时间为即时，到达现场的时间为12小时，小型故障恢复时间为4个小时，严重故障恢复时间为24小时内，并及时有效的提供解决方案。</w:t>
      </w:r>
    </w:p>
    <w:p w14:paraId="08457CCF">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w:t>
      </w:r>
      <w:r>
        <w:rPr>
          <w:rFonts w:hint="eastAsia" w:cs="宋体"/>
          <w:color w:val="auto"/>
          <w:sz w:val="24"/>
          <w:szCs w:val="24"/>
          <w:lang w:val="en-US" w:eastAsia="zh-CN"/>
        </w:rPr>
        <w:t>未达到服务要求中（4）条款，一次扣合同总金额5%。</w:t>
      </w:r>
    </w:p>
    <w:p w14:paraId="2043FB70">
      <w:pPr>
        <w:pStyle w:val="5"/>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.培训要求：系统上线后，供应商须提供操作培训方案，方案内容包括但不限于培训方式、培训课时及培训目标成果等内容。</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2</w:t>
      </w:r>
      <w:bookmarkStart w:id="34" w:name="_GoBack"/>
      <w:bookmarkEnd w:id="34"/>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Times New Roman"/>
          <w:sz w:val="24"/>
          <w:szCs w:val="24"/>
          <w:lang w:val="en-US" w:eastAsia="zh-CN"/>
        </w:rPr>
        <w:t>系统对接要求：本项目须与采购人HIS、电子病历系统、平台管理系统完成对接，涉及系统接口由供应商自行沟通，所产生的接口费用由供应商自行承担，提供承诺函。</w:t>
      </w:r>
    </w:p>
    <w:bookmarkEnd w:id="26"/>
    <w:bookmarkEnd w:id="27"/>
    <w:p w14:paraId="2609FDCB">
      <w:pPr>
        <w:pStyle w:val="5"/>
        <w:numPr>
          <w:ilvl w:val="0"/>
          <w:numId w:val="0"/>
        </w:numPr>
        <w:ind w:firstLine="480" w:firstLineChars="200"/>
        <w:rPr>
          <w:rFonts w:hint="eastAsia" w:ascii="宋体" w:hAnsi="宋体" w:eastAsia="宋体" w:cs="Times New Roman"/>
          <w:sz w:val="24"/>
          <w:szCs w:val="24"/>
          <w:lang w:val="en-US" w:eastAsia="zh-CN"/>
        </w:rPr>
      </w:pPr>
      <w:bookmarkStart w:id="28" w:name="_Toc3397"/>
      <w:bookmarkStart w:id="29" w:name="_Toc27680"/>
      <w:r>
        <w:rPr>
          <w:rFonts w:hint="eastAsia" w:ascii="宋体" w:hAnsi="宋体" w:eastAsia="宋体" w:cs="Times New Roman"/>
          <w:sz w:val="24"/>
          <w:szCs w:val="24"/>
          <w:lang w:val="en-US" w:eastAsia="zh-CN"/>
        </w:rPr>
        <w:t>3.知识产权需求：要求系统中所有涉及到知识产权责任均由供应商承担，须提供承担知识产权责任的承诺函原件。</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Times New Roman"/>
          <w:sz w:val="24"/>
          <w:szCs w:val="24"/>
          <w:lang w:val="en-US" w:eastAsia="zh-CN"/>
        </w:rPr>
        <w:t>4</w:t>
      </w:r>
      <w:r>
        <w:rPr>
          <w:rFonts w:hint="eastAsia" w:ascii="宋体" w:hAnsi="宋体" w:eastAsia="宋体" w:cs="Times New Roman"/>
          <w:sz w:val="24"/>
          <w:szCs w:val="24"/>
          <w:lang w:val="en-US" w:eastAsia="zh-CN"/>
        </w:rPr>
        <w:t>.</w:t>
      </w:r>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0B35A189">
      <w:pPr>
        <w:pStyle w:val="2"/>
        <w:rPr>
          <w:rFonts w:hint="eastAsia" w:ascii="黑体" w:hAnsi="宋体" w:eastAsia="黑体"/>
          <w:b/>
          <w:bCs/>
          <w:sz w:val="32"/>
          <w:szCs w:val="32"/>
        </w:rPr>
      </w:pPr>
    </w:p>
    <w:p w14:paraId="0A41D513">
      <w:pPr>
        <w:pStyle w:val="2"/>
        <w:rPr>
          <w:rFonts w:hint="eastAsia" w:ascii="黑体" w:hAnsi="宋体" w:eastAsia="黑体"/>
          <w:b/>
          <w:bCs/>
          <w:sz w:val="32"/>
          <w:szCs w:val="32"/>
        </w:rPr>
      </w:pPr>
    </w:p>
    <w:p w14:paraId="7C4A7FD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28E7810C">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7A457980">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0F93090">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0188213">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2E5DD1"/>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6558FF"/>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4FF41570"/>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CEE3657"/>
    <w:rsid w:val="5D7E2CB1"/>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D611A8D"/>
    <w:rsid w:val="6E8E64EB"/>
    <w:rsid w:val="6F462AF9"/>
    <w:rsid w:val="6FB86553"/>
    <w:rsid w:val="70260E8E"/>
    <w:rsid w:val="7128436B"/>
    <w:rsid w:val="72124A65"/>
    <w:rsid w:val="73640109"/>
    <w:rsid w:val="73A42611"/>
    <w:rsid w:val="73BE5F83"/>
    <w:rsid w:val="73D310AA"/>
    <w:rsid w:val="750E512E"/>
    <w:rsid w:val="75AC5B7C"/>
    <w:rsid w:val="75F4747B"/>
    <w:rsid w:val="76427C85"/>
    <w:rsid w:val="77560447"/>
    <w:rsid w:val="77DD2899"/>
    <w:rsid w:val="791436BF"/>
    <w:rsid w:val="7A3410D9"/>
    <w:rsid w:val="7AA11235"/>
    <w:rsid w:val="7B71498E"/>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9317</Words>
  <Characters>9781</Characters>
  <Lines>0</Lines>
  <Paragraphs>0</Paragraphs>
  <TotalTime>3</TotalTime>
  <ScaleCrop>false</ScaleCrop>
  <LinksUpToDate>false</LinksUpToDate>
  <CharactersWithSpaces>9885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2025-01-07T01:19:20Z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53378445F709484FB4DC99B15C8945D0_13</vt:lpwstr>
  </property>
  <property fmtid="{D5CDD505-2E9C-101B-9397-08002B2CF9AE}" pid="4" name="KSOTemplateDocerSaveRecord">
    <vt:lpwstr>eyJoZGlkIjoiYWRhNDZmMjJlZTg3ODUxNTc2ZDgzOWQwOWZiN2FhNmEiLCJ1c2VySWQiOiI1NzU5NTE5MDgifQ==</vt:lpwstr>
  </property>
</Properties>
</file>