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集中带量采购药品管理系统</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11</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11</w:t>
      </w:r>
      <w:r>
        <w:rPr>
          <w:b/>
          <w:sz w:val="28"/>
        </w:rPr>
        <w:t>月</w:t>
      </w:r>
      <w:r>
        <w:rPr>
          <w:rFonts w:hint="eastAsia"/>
          <w:b/>
          <w:sz w:val="28"/>
          <w:lang w:val="en-US" w:eastAsia="zh-CN"/>
        </w:rPr>
        <w:t>28</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LYC-2024-111</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集中带量采购药品管理系统</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13</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10.4</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12</w:t>
      </w:r>
      <w:bookmarkStart w:id="34" w:name="_GoBack"/>
      <w:bookmarkEnd w:id="34"/>
      <w:r>
        <w:rPr>
          <w:rFonts w:hint="eastAsia" w:ascii="宋体" w:hAnsi="宋体" w:cs="宋体"/>
          <w:b w:val="0"/>
          <w:bCs/>
          <w:color w:val="auto"/>
          <w:sz w:val="24"/>
          <w:u w:val="single"/>
          <w:lang w:val="en-US" w:eastAsia="zh-CN"/>
        </w:rPr>
        <w:t xml:space="preserve">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28日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1300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1040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24295"/>
      <w:bookmarkStart w:id="7" w:name="_Toc17067"/>
      <w:bookmarkStart w:id="8" w:name="_Toc15215"/>
      <w:bookmarkStart w:id="9" w:name="_Toc31240"/>
      <w:bookmarkStart w:id="10" w:name="_Toc13038"/>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430773927"/>
      <w:bookmarkStart w:id="13" w:name="_Toc101250646"/>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494F542E">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7EA0C2EA">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77400782"/>
      <w:bookmarkStart w:id="19" w:name="_Toc217446056"/>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集中带量采购药品管理系统</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3475"/>
        <w:gridCol w:w="1164"/>
        <w:gridCol w:w="1440"/>
        <w:gridCol w:w="108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0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475"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164"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4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082"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0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475" w:type="dxa"/>
            <w:vAlign w:val="center"/>
          </w:tcPr>
          <w:p w14:paraId="00CF634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集中带量采购药品管理系统</w:t>
            </w:r>
          </w:p>
        </w:tc>
        <w:tc>
          <w:tcPr>
            <w:tcW w:w="1164" w:type="dxa"/>
            <w:vAlign w:val="center"/>
          </w:tcPr>
          <w:p w14:paraId="60E521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套</w:t>
            </w:r>
          </w:p>
        </w:tc>
        <w:tc>
          <w:tcPr>
            <w:tcW w:w="1440" w:type="dxa"/>
            <w:tcBorders>
              <w:top w:val="single" w:color="auto" w:sz="4" w:space="0"/>
            </w:tcBorders>
            <w:vAlign w:val="center"/>
          </w:tcPr>
          <w:p w14:paraId="28B5E9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1082" w:type="dxa"/>
            <w:tcBorders>
              <w:top w:val="single" w:color="auto" w:sz="4" w:space="0"/>
            </w:tcBorders>
            <w:vAlign w:val="center"/>
          </w:tcPr>
          <w:p w14:paraId="4CD04B4B">
            <w:pPr>
              <w:pStyle w:val="29"/>
              <w:jc w:val="center"/>
              <w:rPr>
                <w:rFonts w:hint="eastAsia" w:asciiTheme="minorEastAsia" w:hAnsiTheme="minorEastAsia" w:eastAsiaTheme="minorEastAsia" w:cstheme="minorEastAsia"/>
                <w:sz w:val="24"/>
                <w:szCs w:val="24"/>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55" w:type="dxa"/>
        <w:jc w:val="center"/>
        <w:tblLayout w:type="fixed"/>
        <w:tblCellMar>
          <w:top w:w="0" w:type="dxa"/>
          <w:left w:w="0" w:type="dxa"/>
          <w:bottom w:w="0" w:type="dxa"/>
          <w:right w:w="0" w:type="dxa"/>
        </w:tblCellMar>
      </w:tblPr>
      <w:tblGrid>
        <w:gridCol w:w="643"/>
        <w:gridCol w:w="1368"/>
        <w:gridCol w:w="7044"/>
      </w:tblGrid>
      <w:tr w14:paraId="55C69EB0">
        <w:tblPrEx>
          <w:tblCellMar>
            <w:top w:w="0" w:type="dxa"/>
            <w:left w:w="0" w:type="dxa"/>
            <w:bottom w:w="0" w:type="dxa"/>
            <w:right w:w="0" w:type="dxa"/>
          </w:tblCellMar>
        </w:tblPrEx>
        <w:trPr>
          <w:trHeight w:val="270" w:hRule="atLeast"/>
          <w:jc w:val="center"/>
        </w:trPr>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3033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D4E36">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42DC504F">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6A0AC55E">
        <w:tblPrEx>
          <w:tblCellMar>
            <w:top w:w="0" w:type="dxa"/>
            <w:left w:w="0" w:type="dxa"/>
            <w:bottom w:w="0" w:type="dxa"/>
            <w:right w:w="0" w:type="dxa"/>
          </w:tblCellMar>
        </w:tblPrEx>
        <w:trPr>
          <w:trHeight w:val="4320" w:hRule="atLeast"/>
          <w:jc w:val="center"/>
        </w:trPr>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9DFE0">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E65EF">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药品使用监测 </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4CA3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1.1药品使用量监测</w:t>
            </w:r>
          </w:p>
          <w:p w14:paraId="086B437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（1）医生在进行医嘱的开具时，系统会主动显示当前还未使用达标的适用药品，并且提示医生当前医嘱应使用相应适用的集采药品（即当医生开具非集采药品时，系统提示有可替代的集采药品可选择）。</w:t>
            </w:r>
          </w:p>
          <w:p w14:paraId="411A405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（2）适用药品按照未达标率进行倒序排列，优先显示未达成率最大的药品。</w:t>
            </w:r>
          </w:p>
          <w:p w14:paraId="5B65352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（3）适用药品仅为提示作用，医生可根据自身需求进行药品的使用，但使用记录会记录于系统，可提供查询。</w:t>
            </w:r>
          </w:p>
          <w:p w14:paraId="5D48B62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（4）已经达标的药品不会再显示于提示适用药品内容当中。</w:t>
            </w:r>
          </w:p>
          <w:p w14:paraId="34BE7A9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（5）系统支持自动生成集采药品使用量管控规则，包括药品名称、集采批次、厂家、规格等。</w:t>
            </w:r>
          </w:p>
          <w:p w14:paraId="2C4F29D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1.2药品使用比例监测</w:t>
            </w:r>
          </w:p>
          <w:p w14:paraId="2BE4E7A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（1）可以根据历年使用数据（可通过系统导入功能导入）自动生成相应药品的使用比例。</w:t>
            </w:r>
          </w:p>
          <w:p w14:paraId="3F15C4E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（2）生成的比例可以根据实际需求由相应管理人员进行手动修改，修改记录会记录于系统当中。</w:t>
            </w:r>
          </w:p>
          <w:p w14:paraId="6A3D2EE1">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（3）使用比例生成后需要使用人员进行确认操作，当使用比例无需修改或修改完毕后使用人员提交使用比例，该使用比例既真正生成。</w:t>
            </w:r>
          </w:p>
          <w:p w14:paraId="6F7E3CC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1.3使用量查询预警</w:t>
            </w:r>
          </w:p>
          <w:p w14:paraId="071F303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（1）本功能可以查询所有集采药品应完成的数量以及全部的使用量。</w:t>
            </w:r>
          </w:p>
          <w:p w14:paraId="111777A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（2）使用量查询可以通过时间、科室、药品名称等条件进行查询。</w:t>
            </w:r>
          </w:p>
          <w:p w14:paraId="384F167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（3）本功能在药品使用量未在规定时间内达标的情况下会进行预警提示，并且显示应完成的日期以及数量，相应的适用药品则会通过本功能联动干预医生的医嘱。</w:t>
            </w:r>
          </w:p>
          <w:p w14:paraId="212E5DF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（4）预警的相应数量以及规定日期可以由管理人员进行设置，设置后会记录设置人员及内容的相关记录。</w:t>
            </w:r>
          </w:p>
          <w:p w14:paraId="1811919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（5）预警的适用药品应优先使用，如却因使用需求不使用该适用药品时，医生需要填写情况说明，相关操作会记录于系统。</w:t>
            </w:r>
          </w:p>
          <w:p w14:paraId="268FA1A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1.4使用比例监测</w:t>
            </w:r>
          </w:p>
          <w:p w14:paraId="7BA8E68B">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（1）本功能可以查询所有集采药品应完成的使用比例以及全部的使用量。</w:t>
            </w:r>
          </w:p>
          <w:p w14:paraId="466E2E9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（2）使用比例查询可以通过时间、科室、药品名称等条件进行查询。</w:t>
            </w:r>
          </w:p>
          <w:p w14:paraId="7CB91CAB">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本功能在药品使用比例未在规定时间内达标的情况下会进行预警提示，并且显示应完成的日期以及比例数值，相应的适用药品则会通过本功能联动干预医生的医嘱。同时支持自动设置预警信息接收人，触发预警后系统将自动发送预警信息。</w:t>
            </w:r>
          </w:p>
          <w:p w14:paraId="37D8FB7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（4）预警的使用比例数值以及规定日期可以由管理人员进行设置，设置后会记录设置人员及内容的相关记录。</w:t>
            </w:r>
          </w:p>
          <w:p w14:paraId="720EF12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（5）预警的适用药品应优先使用，如却因使用需求不使用该适用药品时，医生需要填写情况说明，相关操作会记录于系统。</w:t>
            </w:r>
          </w:p>
          <w:p w14:paraId="3A6B6F0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6）集采药品历史任务量管控：支持按月度或季度对集采药品任务量进行累计审核。按月度进行审核时，若科室或医生月累计任务量未完成时，系统将主动对医嘱进行拦截；按季度进行审核时，若科室或医生在季度内未完成任务量，系统将主动对医嘱进行拦截，当前季度结束后，即使仍然有未完成的任务量，在下一季度不再进行审查提示。</w:t>
            </w:r>
          </w:p>
          <w:p w14:paraId="4DA6589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1.5使用智能管控</w:t>
            </w:r>
          </w:p>
          <w:p w14:paraId="1A51B88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（1）多中选厂家集采品种推荐</w:t>
            </w:r>
          </w:p>
          <w:p w14:paraId="7B8C256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当医院采购了同一通用名下多个厂家的集采药品时，完成其中一个厂家的集采任务后，系统会推荐优先使用另一厂家的药品。</w:t>
            </w:r>
          </w:p>
          <w:p w14:paraId="778AED4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1）系统支持自动生成多中选厂家集采品种推荐管控规则，包括药品名称、集采批次、厂家、规格等。</w:t>
            </w:r>
          </w:p>
          <w:p w14:paraId="791B630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2）支持根据医院实际管理需求新增、修改、删除多中选厂家集采品种推荐管控数据。</w:t>
            </w:r>
          </w:p>
          <w:p w14:paraId="0B5F935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3）支持根据医院管理要求，灵活设置每一条审核规则的管控方式（禁止下达、填写理由、确认下达）。</w:t>
            </w:r>
          </w:p>
          <w:p w14:paraId="27EC825D">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4）支持根据指定条件进行指定药品查询。</w:t>
            </w:r>
          </w:p>
          <w:p w14:paraId="6CF3CD1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（2）集采可替代品种管控</w:t>
            </w:r>
          </w:p>
          <w:p w14:paraId="2AFBA99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系统支持对集采可替代品种进行监控，若集采药品使用量未达到设置的使用比例时，系统可限制科室或医生使用集采可替代品种。</w:t>
            </w:r>
          </w:p>
          <w:p w14:paraId="71FD050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1）系统支持自动生成集采可替代品种管控规则，包括药品名称、集采批次、厂家、规格等。</w:t>
            </w:r>
          </w:p>
          <w:p w14:paraId="2216433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2）支持根据医院实际管理需求新增、修改、删除集采可替代品种管控数据。</w:t>
            </w:r>
          </w:p>
          <w:p w14:paraId="7367A7FD">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3）支持根据医院管理要求，灵活设置每一条审核规则的管控方式（禁止下达、填写理由、确认下达）。</w:t>
            </w:r>
          </w:p>
          <w:p w14:paraId="4F1D162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4）支持根据医院实际应用需求，可对集采可替代品种监控进行个性化的审核。</w:t>
            </w:r>
          </w:p>
          <w:p w14:paraId="4E1126A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5）支持根据指定条件进行指定药品查询。</w:t>
            </w:r>
          </w:p>
          <w:p w14:paraId="2065BE0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（3）集采药品黑白名单管控</w:t>
            </w:r>
          </w:p>
          <w:p w14:paraId="74D2012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系统支持设置集采药品黑白名单管控，限制科室或医生使用集采药品。</w:t>
            </w:r>
          </w:p>
          <w:p w14:paraId="0DC280A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1）集采药品黑白名单管控包括药品名称、厂家、规格、放行工作站类型、禁用工作站类型等。</w:t>
            </w:r>
          </w:p>
          <w:p w14:paraId="3960D3B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2）支持根据医院实际管理需求新增、修改、删除集采药品黑白名单管控数据。</w:t>
            </w:r>
          </w:p>
          <w:p w14:paraId="54AB693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3）支持根据指定条件进行指定药品查询。</w:t>
            </w:r>
          </w:p>
          <w:p w14:paraId="744F098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1.6监测工作台</w:t>
            </w:r>
          </w:p>
          <w:p w14:paraId="0A8E90D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（1）集采药品任务累计完成度实时监测</w:t>
            </w:r>
          </w:p>
          <w:p w14:paraId="005FAE5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系统须支持实时查看到以时间为维度的集采药品累计完成进度条形图，药师可直观的了解集采药品的整体完成趋势。</w:t>
            </w:r>
          </w:p>
          <w:p w14:paraId="571EBE8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（2）集采药品月度完成情况实时监测</w:t>
            </w:r>
          </w:p>
          <w:p w14:paraId="55A8A58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1）系统须支持实时显示本月集采药品完成进度后5名的药品条形图以及每个药品对应的集采完成进度后5名的科室条形图，也支持查看集采药品对应的所有科室每月集采药品使用详情。</w:t>
            </w:r>
          </w:p>
          <w:p w14:paraId="5F5770C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2）系统须支持实时显示本月集采占比排名后5名的药品的环形图，也支持查看集采药品对应的所有科室详情。</w:t>
            </w:r>
          </w:p>
          <w:p w14:paraId="51F0307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（3）集采药品完成情况预警</w:t>
            </w:r>
          </w:p>
          <w:p w14:paraId="6EFAF841">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1）药师可在智能预警信息处查看到所有的集采中选比例未达标预警信息。</w:t>
            </w:r>
          </w:p>
          <w:p w14:paraId="14881E52">
            <w:pPr>
              <w:widowControl/>
              <w:jc w:val="left"/>
              <w:textAlignment w:val="center"/>
              <w:rPr>
                <w:rFonts w:ascii="宋体" w:hAnsi="宋体" w:cs="宋体"/>
                <w:color w:val="000000"/>
                <w:sz w:val="24"/>
              </w:rPr>
            </w:pPr>
            <w:r>
              <w:rPr>
                <w:rFonts w:hint="eastAsia" w:ascii="宋体" w:hAnsi="宋体" w:cs="宋体"/>
                <w:color w:val="000000"/>
                <w:kern w:val="0"/>
                <w:sz w:val="24"/>
                <w:lang w:bidi="ar"/>
              </w:rPr>
              <w:t>2）药师可在智能预警信息处查看到所有的集采药品使用量未达标预警信息。</w:t>
            </w:r>
          </w:p>
        </w:tc>
      </w:tr>
      <w:tr w14:paraId="5A5EE46B">
        <w:tblPrEx>
          <w:tblCellMar>
            <w:top w:w="0" w:type="dxa"/>
            <w:left w:w="0" w:type="dxa"/>
            <w:bottom w:w="0" w:type="dxa"/>
            <w:right w:w="0" w:type="dxa"/>
          </w:tblCellMar>
        </w:tblPrEx>
        <w:trPr>
          <w:trHeight w:val="1662" w:hRule="atLeast"/>
          <w:jc w:val="center"/>
        </w:trPr>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E56F7">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B48A4">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eastAsia" w:ascii="宋体" w:hAnsi="宋体" w:cs="宋体"/>
                <w:color w:val="000000"/>
                <w:kern w:val="0"/>
                <w:sz w:val="24"/>
                <w:lang w:val="en-US" w:eastAsia="zh-CN" w:bidi="ar"/>
              </w:rPr>
              <w:t>基础数据维护</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933DF">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2.1信息导入</w:t>
            </w:r>
          </w:p>
          <w:p w14:paraId="7A635FD3">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1）本系统支持外部数据导入。可以通过导入功能进行相关数据的导入。导入功能提供相应的导入模板，可由管理人员在导入前按照excle模板进行数据整理，之后进行数据的导入。也可以直接将外部的excle导入（可能会导致部分数据有误）。</w:t>
            </w:r>
          </w:p>
          <w:p w14:paraId="21A5F86C">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2）导入数据功能会提供相关的入口，区分往年使用数据导入、集采药品数据导入。往年使用数据导入专用于导入集采药品的历年使用数据，不可导入其他数据；集采药品数据导入专用于集采药品基础信息的导入，可将国家或地市级的集采药品基础信息进行导入，导入时可选择相应标签，导入成功后，相应药品会显示国家或地市级相应的标签。</w:t>
            </w:r>
          </w:p>
          <w:p w14:paraId="26267AE5">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（3）集采药品基础数据维护</w:t>
            </w:r>
          </w:p>
          <w:p w14:paraId="7524C8E6">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1）自动生成集采药品信息</w:t>
            </w:r>
          </w:p>
          <w:p w14:paraId="156EC4BF">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系统须支持根据医院集采标记自动生成集采药品基础信息，包括药品名称、规格、生产厂家等，支持自维护集采批次、单位转换、年度任务量、完全可替代品种等集采信息。</w:t>
            </w:r>
          </w:p>
          <w:p w14:paraId="17CE497C">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2）集采药品信息维护</w:t>
            </w:r>
          </w:p>
          <w:p w14:paraId="1D43C152">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系统须支持按集采批次等条件快速查询指定的集采药品，同时也支持对指定集采药品信息进行修改维护，也支持批量导出或导入集采药品信息，导出的表单可进行修改或打印，导入时可自动匹配药品基础信息。</w:t>
            </w:r>
          </w:p>
          <w:p w14:paraId="7D649337">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2.2权限管理</w:t>
            </w:r>
          </w:p>
          <w:p w14:paraId="029812C9">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（1）权限管理是对于本系统不同权限角色配置的功能，可以通过权限的划分来辅助集采药品工作的执行。相关权限划分后，对于不同权限间使用非权限范围内的药品，则需要填写使用说明。</w:t>
            </w:r>
          </w:p>
          <w:p w14:paraId="12EBD194">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（2）管理权限可以自由查看其他权限的工作数据。</w:t>
            </w:r>
          </w:p>
          <w:p w14:paraId="26AC3264">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2.3模板配置</w:t>
            </w:r>
          </w:p>
          <w:p w14:paraId="05D3F6EC">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（1）模板配置为系统内所有模板的配置功能。其中包括往年使用数据模板、集采药品信息模板、提示信息模板、使用说明信息模板。</w:t>
            </w:r>
          </w:p>
          <w:p w14:paraId="1E803C01">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（2）往年使用数据模板、集采药品信息模板可以做轻微的调整，进行使用。具体调整以工程师说明为准。</w:t>
            </w:r>
          </w:p>
          <w:p w14:paraId="52CB34E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（3）提示信息模板支持保存多个模板，选择其中之一进行使用即可。更换时系统会记录当前的更换时间及人员。</w:t>
            </w:r>
          </w:p>
          <w:p w14:paraId="028D5867">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（4）使用说明信息模板为医生权限等一般权限使用。同样可以保存多个模板，可由使用人员即时进行选择维护。</w:t>
            </w:r>
          </w:p>
          <w:p w14:paraId="1605ABE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2.4规则维护</w:t>
            </w:r>
          </w:p>
          <w:p w14:paraId="643D7332">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（1）规则维护则是支持监测功能的辅助功能。通过相关人员的规则维护，可以使各类监测进行的更加精准，各类规则均可以进行自由维护，维护的记录会即时记录与系统。</w:t>
            </w:r>
          </w:p>
          <w:p w14:paraId="370F10BB">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ab/>
            </w:r>
            <w:r>
              <w:rPr>
                <w:rFonts w:hint="eastAsia" w:ascii="宋体" w:hAnsi="宋体" w:cs="宋体"/>
                <w:color w:val="auto"/>
                <w:kern w:val="0"/>
                <w:sz w:val="24"/>
                <w:highlight w:val="none"/>
                <w:lang w:val="en-US" w:eastAsia="zh-CN" w:bidi="ar"/>
              </w:rPr>
              <w:t>（2）规则维护是遵循一定规律与常规进行设置的，明显的违背常理的规则设置系统将不予支持并进行提示。</w:t>
            </w:r>
          </w:p>
        </w:tc>
      </w:tr>
      <w:tr w14:paraId="55079421">
        <w:tblPrEx>
          <w:tblCellMar>
            <w:top w:w="0" w:type="dxa"/>
            <w:left w:w="0" w:type="dxa"/>
            <w:bottom w:w="0" w:type="dxa"/>
            <w:right w:w="0" w:type="dxa"/>
          </w:tblCellMar>
        </w:tblPrEx>
        <w:trPr>
          <w:trHeight w:val="540" w:hRule="atLeast"/>
          <w:jc w:val="center"/>
        </w:trPr>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093E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3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3C898">
            <w:pPr>
              <w:widowControl/>
              <w:jc w:val="center"/>
              <w:textAlignment w:val="center"/>
              <w:rPr>
                <w:rFonts w:ascii="宋体" w:hAnsi="宋体" w:cs="宋体"/>
                <w:color w:val="000000"/>
                <w:sz w:val="24"/>
              </w:rPr>
            </w:pPr>
            <w:r>
              <w:rPr>
                <w:rFonts w:hint="eastAsia" w:ascii="宋体" w:hAnsi="宋体" w:cs="宋体"/>
                <w:color w:val="000000"/>
                <w:kern w:val="0"/>
                <w:sz w:val="24"/>
                <w:lang w:bidi="ar"/>
              </w:rPr>
              <w:t>药品报量</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17068">
            <w:pPr>
              <w:widowControl/>
              <w:textAlignment w:val="center"/>
              <w:rPr>
                <w:rFonts w:hint="eastAsia" w:ascii="宋体" w:hAnsi="宋体" w:cs="宋体"/>
                <w:color w:val="000000"/>
                <w:sz w:val="24"/>
              </w:rPr>
            </w:pPr>
            <w:r>
              <w:rPr>
                <w:rFonts w:hint="eastAsia" w:ascii="宋体" w:hAnsi="宋体" w:cs="宋体"/>
                <w:color w:val="000000"/>
                <w:sz w:val="24"/>
              </w:rPr>
              <w:t>3.1药品报量计算</w:t>
            </w:r>
          </w:p>
          <w:p w14:paraId="301F4EDB">
            <w:pPr>
              <w:widowControl/>
              <w:textAlignment w:val="center"/>
              <w:rPr>
                <w:rFonts w:hint="eastAsia"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（1）系统支持根据条件的配置选择，结合往年的使用记录来进行本年度药品报量的计算。集采占比可进行自定义设置，药师可修改调整今年集采任务量及原研采购量，修改及配置均会记录于系统当中。</w:t>
            </w:r>
          </w:p>
          <w:p w14:paraId="5E98BBB5">
            <w:pPr>
              <w:widowControl/>
              <w:textAlignment w:val="center"/>
              <w:rPr>
                <w:rFonts w:hint="eastAsia"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（2）计算出药品报量支持导出及打印。</w:t>
            </w:r>
          </w:p>
          <w:p w14:paraId="3BB37FEC">
            <w:pPr>
              <w:widowControl/>
              <w:textAlignment w:val="center"/>
              <w:rPr>
                <w:rFonts w:hint="eastAsia" w:ascii="宋体" w:hAnsi="宋体" w:cs="宋体"/>
                <w:color w:val="000000"/>
                <w:sz w:val="24"/>
              </w:rPr>
            </w:pPr>
            <w:r>
              <w:rPr>
                <w:rFonts w:hint="eastAsia" w:ascii="宋体" w:hAnsi="宋体" w:cs="宋体"/>
                <w:color w:val="000000"/>
                <w:sz w:val="24"/>
              </w:rPr>
              <w:t>3.2药品报量查询</w:t>
            </w:r>
          </w:p>
          <w:p w14:paraId="1472CEFB">
            <w:pPr>
              <w:widowControl/>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系统支持根据条件的筛选进行相关药品的信息查询，包括药品的名称、规则、批次、厂家等信息。</w:t>
            </w:r>
          </w:p>
        </w:tc>
      </w:tr>
      <w:tr w14:paraId="69EAEF2E">
        <w:tblPrEx>
          <w:tblCellMar>
            <w:top w:w="0" w:type="dxa"/>
            <w:left w:w="0" w:type="dxa"/>
            <w:bottom w:w="0" w:type="dxa"/>
            <w:right w:w="0" w:type="dxa"/>
          </w:tblCellMar>
        </w:tblPrEx>
        <w:trPr>
          <w:trHeight w:val="540" w:hRule="atLeast"/>
          <w:jc w:val="center"/>
        </w:trPr>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1D6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18A8">
            <w:pPr>
              <w:widowControl/>
              <w:jc w:val="center"/>
              <w:textAlignment w:val="center"/>
              <w:rPr>
                <w:rFonts w:ascii="宋体" w:hAnsi="宋体" w:cs="宋体"/>
                <w:color w:val="000000"/>
                <w:sz w:val="24"/>
              </w:rPr>
            </w:pPr>
            <w:r>
              <w:rPr>
                <w:rFonts w:hint="eastAsia" w:ascii="宋体" w:hAnsi="宋体" w:cs="宋体"/>
                <w:color w:val="000000"/>
                <w:kern w:val="0"/>
                <w:sz w:val="24"/>
                <w:lang w:bidi="ar"/>
              </w:rPr>
              <w:t>药物任务分配</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7D467">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4.1任务生成及分配</w:t>
            </w:r>
          </w:p>
          <w:p w14:paraId="0548D95E">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系统支持按照条件的配置以及过往的使用记录进行药物使用任务的分配，其分配一般呈现于依照过往使用药物任务数量及相关科室配置进行分配。分配前，使用人员可以根据系统生成的建议分配进行自由调整，调整后（或不调整）可提交分配任务。</w:t>
            </w:r>
          </w:p>
          <w:p w14:paraId="30753809">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任务的分配可以进行撤回，撤回需相关人员进行问题说明的填写提交并确认撤回重新分配。撤回的任务中已经使用的数量不会更改，会即时按照当前使用进度进行计算并分配。分配后的任务则是余下的任务量。</w:t>
            </w:r>
          </w:p>
          <w:p w14:paraId="60195C5C">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（3）任务配置生成、更改以及撤回均会记录与系统，可进行追溯。生成的任务内容支持打印及导出。</w:t>
            </w:r>
          </w:p>
          <w:p w14:paraId="18B98B40">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（4）系统须提供多种测算方式及参考药品，药师可根据医院实际情况选择合适的测算方式进行测算。</w:t>
            </w:r>
          </w:p>
          <w:p w14:paraId="7AB71D2A">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（5）系统须提供按全院分配、按大科室分配、按科室分配、按医生分配等分配类型，并可进行自动选择。</w:t>
            </w:r>
          </w:p>
          <w:p w14:paraId="6C249F6A">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（6）打印及导出集采任务表单</w:t>
            </w:r>
          </w:p>
          <w:p w14:paraId="21F715AA">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系统须支持打印及导出集采药品任务分配结果。</w:t>
            </w:r>
          </w:p>
          <w:p w14:paraId="068A89F7">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4.2任务分配查询</w:t>
            </w:r>
          </w:p>
          <w:p w14:paraId="3C891C09">
            <w:pPr>
              <w:widowControl/>
              <w:textAlignment w:val="center"/>
              <w:rPr>
                <w:rFonts w:ascii="宋体" w:hAnsi="宋体" w:cs="宋体"/>
                <w:color w:val="000000"/>
                <w:sz w:val="24"/>
              </w:rPr>
            </w:pPr>
            <w:r>
              <w:rPr>
                <w:rFonts w:hint="eastAsia" w:ascii="宋体" w:hAnsi="宋体" w:cs="宋体"/>
                <w:color w:val="000000"/>
                <w:kern w:val="0"/>
                <w:sz w:val="24"/>
                <w:lang w:bidi="ar"/>
              </w:rPr>
              <w:tab/>
            </w:r>
            <w:r>
              <w:rPr>
                <w:rFonts w:hint="eastAsia" w:ascii="宋体" w:hAnsi="宋体" w:cs="宋体"/>
                <w:color w:val="000000"/>
                <w:kern w:val="0"/>
                <w:sz w:val="24"/>
                <w:lang w:bidi="ar"/>
              </w:rPr>
              <w:t>本功能可以对集采药品使用任务的所有分配情况，查询可以根据条件进行筛选后查询。查询结果支持导出打印。</w:t>
            </w:r>
          </w:p>
        </w:tc>
      </w:tr>
      <w:tr w14:paraId="25822FDF">
        <w:tblPrEx>
          <w:tblCellMar>
            <w:top w:w="0" w:type="dxa"/>
            <w:left w:w="0" w:type="dxa"/>
            <w:bottom w:w="0" w:type="dxa"/>
            <w:right w:w="0" w:type="dxa"/>
          </w:tblCellMar>
        </w:tblPrEx>
        <w:trPr>
          <w:trHeight w:val="540" w:hRule="atLeast"/>
          <w:jc w:val="center"/>
        </w:trPr>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0A21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944D0">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数据统计分析</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77600">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5.1记录汇总</w:t>
            </w:r>
          </w:p>
          <w:p w14:paraId="3E5C56F8">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本功能是集中汇总各类使用记录并支持查询的功能。查询人员可以通过本功能查询包括任务分配、药品报量、规则修改等记录的信息。本功能仅支持查询，不可更改记录。本功能支持按照条件进行筛选查询，包括时间、科室、医生、药师、药品等。</w:t>
            </w:r>
          </w:p>
          <w:p w14:paraId="7F1499D8">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5.2集采药品统计分析</w:t>
            </w:r>
          </w:p>
          <w:p w14:paraId="1EAC19FC">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（1）本功能支持对集采药品使用量、药品报量、比例情况等进行汇总并查询。可以通过本功能进行统计并分析当前集采药品的使用情况，并可以根据该记录进行整体任务的调整等。</w:t>
            </w:r>
          </w:p>
          <w:p w14:paraId="011A71BF">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（2）集采任务完成情况统计</w:t>
            </w:r>
          </w:p>
          <w:p w14:paraId="4B78F533">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支持对某一批次集采药品或单个集采药品的集采任务完成情况进行统计。包括集采批次、药品名称、任务完成率等，支持打印及导出。</w:t>
            </w:r>
          </w:p>
          <w:p w14:paraId="321C88A0">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b/>
            </w:r>
            <w:r>
              <w:rPr>
                <w:rFonts w:hint="eastAsia" w:ascii="宋体" w:hAnsi="宋体" w:cs="宋体"/>
                <w:color w:val="000000"/>
                <w:kern w:val="0"/>
                <w:sz w:val="24"/>
                <w:lang w:bidi="ar"/>
              </w:rPr>
              <w:t>（3）集采使用占比情况统计</w:t>
            </w:r>
          </w:p>
          <w:p w14:paraId="313FBB84">
            <w:pPr>
              <w:widowControl/>
              <w:textAlignment w:val="center"/>
              <w:rPr>
                <w:rFonts w:ascii="宋体" w:hAnsi="宋体" w:cs="宋体"/>
                <w:color w:val="000000"/>
                <w:sz w:val="24"/>
              </w:rPr>
            </w:pPr>
            <w:r>
              <w:rPr>
                <w:rFonts w:hint="eastAsia" w:ascii="宋体" w:hAnsi="宋体" w:cs="宋体"/>
                <w:color w:val="000000"/>
                <w:kern w:val="0"/>
                <w:sz w:val="24"/>
                <w:lang w:bidi="ar"/>
              </w:rPr>
              <w:t>支持对某一批次集采药品或单个集采药品按科室或医生为维度对集采药品使用比例情况进行统计。包括集采批次、药品名称、厂家、集采使用比例等，支持打印及导出。</w:t>
            </w:r>
          </w:p>
        </w:tc>
      </w:tr>
    </w:tbl>
    <w:p w14:paraId="2AE63DC5">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CD8A5C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1.系统免费维护期限：3年（自项目验收合格签字之日起计算）。</w:t>
      </w:r>
    </w:p>
    <w:p w14:paraId="799A757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2.系统服务期满后由系统供应商维护，供应商需对系统更新服务费进行报价，报价不得高于中标金额20%。</w:t>
      </w:r>
    </w:p>
    <w:p w14:paraId="23642FA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3.质保期内，对采购人提出的合理要求，供应商必须即时进行电话、邮件及远程网络支持，并在24小时内到场服务。如不到场，采购人有权自行处理，相关费用由供应商负责。</w:t>
      </w:r>
    </w:p>
    <w:p w14:paraId="62A7FC1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内，本合同项目所有技术和服务发生任何非人为故障，由供应商负责系统恢复。故障报修的响应时间为即时，到达现场的时间为12小时，小型故障恢复时间为4个小时，严重故障恢复时间为24小时内，并及时有效的提供解决方案。</w:t>
      </w:r>
    </w:p>
    <w:p w14:paraId="0154E59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w:t>
      </w:r>
      <w:r>
        <w:rPr>
          <w:rFonts w:hint="eastAsia" w:cs="宋体"/>
          <w:color w:val="auto"/>
          <w:sz w:val="24"/>
          <w:szCs w:val="24"/>
          <w:lang w:val="en-US" w:eastAsia="zh-CN"/>
        </w:rPr>
        <w:t>未达到服务要求中（4）条款，一次扣合同总金额5%。</w:t>
      </w:r>
    </w:p>
    <w:p w14:paraId="156AA1C4">
      <w:pPr>
        <w:pStyle w:val="5"/>
        <w:ind w:left="0" w:leftChars="0" w:firstLine="638" w:firstLineChars="266"/>
        <w:rPr>
          <w:rFonts w:hint="default"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.培训要求：系统上线后，供应商须提供操作培训方案，方案内容包括但不限于培训方式、培训课时及培训目标成果等内容。</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Times New Roman"/>
          <w:sz w:val="24"/>
          <w:szCs w:val="24"/>
          <w:lang w:val="en-US" w:eastAsia="zh-CN"/>
        </w:rPr>
        <w:t>系统对接要求：本项目须与采购人HIS、电子病历系统、平台管理系统完成对接，涉及系统接口由供应商自行沟通，所产生的接口费用由供应商自行承担，提供承诺函。</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w:t>
      </w:r>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12F4E197">
      <w:pPr>
        <w:tabs>
          <w:tab w:val="left" w:pos="7665"/>
        </w:tabs>
        <w:spacing w:line="400" w:lineRule="exact"/>
        <w:ind w:firstLine="482"/>
        <w:jc w:val="center"/>
        <w:outlineLvl w:val="0"/>
        <w:rPr>
          <w:rFonts w:hint="eastAsia" w:ascii="黑体" w:hAnsi="宋体" w:eastAsia="黑体"/>
          <w:b/>
          <w:bCs/>
          <w:sz w:val="32"/>
          <w:szCs w:val="32"/>
        </w:rPr>
      </w:pPr>
    </w:p>
    <w:p w14:paraId="077BC327">
      <w:pPr>
        <w:tabs>
          <w:tab w:val="left" w:pos="7665"/>
        </w:tabs>
        <w:spacing w:line="400" w:lineRule="exact"/>
        <w:ind w:firstLine="482"/>
        <w:jc w:val="center"/>
        <w:outlineLvl w:val="0"/>
        <w:rPr>
          <w:rFonts w:hint="eastAsia" w:ascii="黑体" w:hAnsi="宋体" w:eastAsia="黑体"/>
          <w:b/>
          <w:bCs/>
          <w:sz w:val="32"/>
          <w:szCs w:val="32"/>
        </w:rPr>
      </w:pPr>
    </w:p>
    <w:p w14:paraId="64EF02D9">
      <w:pPr>
        <w:tabs>
          <w:tab w:val="left" w:pos="7665"/>
        </w:tabs>
        <w:spacing w:line="400" w:lineRule="exact"/>
        <w:ind w:firstLine="482"/>
        <w:jc w:val="center"/>
        <w:outlineLvl w:val="0"/>
        <w:rPr>
          <w:rFonts w:hint="eastAsia" w:ascii="黑体" w:hAnsi="宋体" w:eastAsia="黑体"/>
          <w:b/>
          <w:bCs/>
          <w:sz w:val="32"/>
          <w:szCs w:val="32"/>
        </w:rPr>
      </w:pPr>
    </w:p>
    <w:p w14:paraId="4500BABB">
      <w:pPr>
        <w:tabs>
          <w:tab w:val="left" w:pos="7665"/>
        </w:tabs>
        <w:spacing w:line="400" w:lineRule="exact"/>
        <w:ind w:firstLine="482"/>
        <w:jc w:val="center"/>
        <w:outlineLvl w:val="0"/>
        <w:rPr>
          <w:rFonts w:hint="eastAsia" w:ascii="黑体" w:hAnsi="宋体" w:eastAsia="黑体"/>
          <w:b/>
          <w:bCs/>
          <w:sz w:val="32"/>
          <w:szCs w:val="32"/>
        </w:rPr>
      </w:pPr>
    </w:p>
    <w:p w14:paraId="4B67085F">
      <w:pPr>
        <w:tabs>
          <w:tab w:val="left" w:pos="7665"/>
        </w:tabs>
        <w:spacing w:line="400" w:lineRule="exact"/>
        <w:ind w:firstLine="482"/>
        <w:jc w:val="center"/>
        <w:outlineLvl w:val="0"/>
        <w:rPr>
          <w:rFonts w:hint="eastAsia" w:ascii="黑体" w:hAnsi="宋体" w:eastAsia="黑体"/>
          <w:b/>
          <w:bCs/>
          <w:sz w:val="32"/>
          <w:szCs w:val="32"/>
        </w:rPr>
      </w:pPr>
    </w:p>
    <w:p w14:paraId="2FA3E344">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7264B08E">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32674DA">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379B8541">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53C13958">
      <w:pPr>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068CCDF3">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4D20FC8"/>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8874F9A"/>
    <w:rsid w:val="19575943"/>
    <w:rsid w:val="195A66FF"/>
    <w:rsid w:val="196E39FC"/>
    <w:rsid w:val="19970C16"/>
    <w:rsid w:val="1A705BA0"/>
    <w:rsid w:val="1C790BEF"/>
    <w:rsid w:val="1CC21F8E"/>
    <w:rsid w:val="1DDF0350"/>
    <w:rsid w:val="1F7A022C"/>
    <w:rsid w:val="1FBF6B0B"/>
    <w:rsid w:val="1FE43AF7"/>
    <w:rsid w:val="205058A7"/>
    <w:rsid w:val="207460AE"/>
    <w:rsid w:val="20A42C05"/>
    <w:rsid w:val="21427125"/>
    <w:rsid w:val="21CC3154"/>
    <w:rsid w:val="22947F00"/>
    <w:rsid w:val="23902475"/>
    <w:rsid w:val="239E61C1"/>
    <w:rsid w:val="259801CB"/>
    <w:rsid w:val="268F0FD1"/>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3FEB59F6"/>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E306DC5"/>
    <w:rsid w:val="5F3F5BA7"/>
    <w:rsid w:val="5FAB2C98"/>
    <w:rsid w:val="5FF6089C"/>
    <w:rsid w:val="6005277B"/>
    <w:rsid w:val="603D5D93"/>
    <w:rsid w:val="622D6AC7"/>
    <w:rsid w:val="62835C1F"/>
    <w:rsid w:val="632736DB"/>
    <w:rsid w:val="635A475F"/>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 w:val="7FA5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1152</Words>
  <Characters>1340</Characters>
  <Lines>0</Lines>
  <Paragraphs>0</Paragraphs>
  <TotalTime>0</TotalTime>
  <ScaleCrop>false</ScaleCrop>
  <LinksUpToDate>false</LinksUpToDate>
  <CharactersWithSpaces>1390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2024-12-02T07:12:09Z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B13D7CE62D0042F78064ABA6B51B49C9_13</vt:lpwstr>
  </property>
</Properties>
</file>